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D9F" w:rsidRDefault="00252E35">
      <w:pPr>
        <w:spacing w:after="202"/>
        <w:ind w:left="9" w:hanging="10"/>
      </w:pPr>
      <w:r>
        <w:rPr>
          <w:rFonts w:ascii="Arial" w:eastAsia="Arial" w:hAnsi="Arial" w:cs="Arial"/>
        </w:rPr>
        <w:t xml:space="preserve">Załącznik nr 3 do Zapytania Ofertowego  </w:t>
      </w:r>
      <w:bookmarkStart w:id="0" w:name="_GoBack"/>
      <w:bookmarkEnd w:id="0"/>
    </w:p>
    <w:p w:rsidR="00D26D9F" w:rsidRDefault="00252E35">
      <w:pPr>
        <w:spacing w:after="164"/>
        <w:ind w:left="9" w:hanging="10"/>
      </w:pPr>
      <w:r>
        <w:rPr>
          <w:rFonts w:ascii="Arial" w:eastAsia="Arial" w:hAnsi="Arial" w:cs="Arial"/>
        </w:rPr>
        <w:t xml:space="preserve">Standard i ceny rynkowe wybranych wydatków w ramach PO WER  </w:t>
      </w:r>
    </w:p>
    <w:p w:rsidR="00D26D9F" w:rsidRDefault="00252E35">
      <w:pPr>
        <w:spacing w:after="0"/>
        <w:ind w:left="14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4123" w:type="dxa"/>
        <w:tblInd w:w="8" w:type="dxa"/>
        <w:tblCellMar>
          <w:top w:w="30" w:type="dxa"/>
          <w:right w:w="27" w:type="dxa"/>
        </w:tblCellMar>
        <w:tblLook w:val="04A0" w:firstRow="1" w:lastRow="0" w:firstColumn="1" w:lastColumn="0" w:noHBand="0" w:noVBand="1"/>
      </w:tblPr>
      <w:tblGrid>
        <w:gridCol w:w="529"/>
        <w:gridCol w:w="1741"/>
        <w:gridCol w:w="5680"/>
        <w:gridCol w:w="1982"/>
        <w:gridCol w:w="4191"/>
      </w:tblGrid>
      <w:tr w:rsidR="00D26D9F">
        <w:trPr>
          <w:trHeight w:val="781"/>
        </w:trPr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pPr>
              <w:ind w:left="126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Lp. 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pPr>
              <w:spacing w:after="116"/>
              <w:ind w:left="114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>Towar/Usługa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D26D9F" w:rsidRDefault="00252E35">
            <w:pPr>
              <w:ind w:left="114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pPr>
              <w:ind w:left="114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>Standard - warunki kwalifikowania wydatku na etapie oceny projektów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pPr>
              <w:ind w:left="114" w:right="28"/>
            </w:pPr>
            <w:r>
              <w:rPr>
                <w:rFonts w:ascii="Tahoma" w:eastAsia="Tahoma" w:hAnsi="Tahoma" w:cs="Tahoma"/>
                <w:b/>
                <w:sz w:val="20"/>
              </w:rPr>
              <w:t>Maksymalna cena rynkowa**</w:t>
            </w:r>
            <w:r>
              <w:rPr>
                <w:rFonts w:ascii="Tahoma" w:eastAsia="Tahoma" w:hAnsi="Tahoma" w:cs="Tahoma"/>
                <w:sz w:val="20"/>
              </w:rPr>
              <w:t xml:space="preserve">   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pPr>
              <w:ind w:left="1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Dodatkowe zalecenia IZ </w:t>
            </w:r>
          </w:p>
          <w:p w:rsidR="00D26D9F" w:rsidRDefault="00252E35">
            <w:pPr>
              <w:ind w:left="-19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D26D9F">
        <w:trPr>
          <w:trHeight w:val="5177"/>
        </w:trPr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pPr>
              <w:ind w:left="126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1. 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pPr>
              <w:ind w:left="1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Wynajem sal szkoleniowych 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pPr>
              <w:spacing w:after="132" w:line="244" w:lineRule="auto"/>
              <w:ind w:left="114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Wydatek kwalifikowalny, o ile jest to uzasadnione specyfiką realizowanego projektu oraz potrzebami grupy docelowej. </w:t>
            </w:r>
          </w:p>
          <w:p w:rsidR="00D26D9F" w:rsidRDefault="00252E35">
            <w:pPr>
              <w:ind w:left="114"/>
            </w:pPr>
            <w:r>
              <w:rPr>
                <w:rFonts w:ascii="Tahoma" w:eastAsia="Tahoma" w:hAnsi="Tahoma" w:cs="Tahoma"/>
                <w:sz w:val="20"/>
              </w:rPr>
              <w:t xml:space="preserve">Wydatek obejmuje koszt wynajmu sali wyposażonej, zgodnie </w:t>
            </w:r>
          </w:p>
          <w:p w:rsidR="00D26D9F" w:rsidRDefault="00252E35">
            <w:pPr>
              <w:spacing w:after="124" w:line="252" w:lineRule="auto"/>
              <w:ind w:left="114" w:right="273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z potrzebami projektu, m.in. w stoły, krzesła, rzutnik multimedialny z ekranem, komputer, tablice flipchart lub tablice suchościeralne, bezprzewodowy dostęp do Internetu oraz koszty utrzymania sali, w tym energii elektrycznej. </w:t>
            </w:r>
          </w:p>
          <w:p w:rsidR="00D26D9F" w:rsidRDefault="00252E35">
            <w:pPr>
              <w:ind w:left="114" w:right="346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Wydatek kwalifikowalny, o ile sala oraz budynek, w którym się ona znajduje, zapewnia dostęp dla osób z niepełnosprawnością ruchową (tj. dostosowanie architektoniczne) przy czym obowiązek ten nie dotyczy udostępniania sal szkoleniowych jako wkład własny w projekcie. 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pPr>
              <w:ind w:left="114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75 PLN/ za godzinę zegarową szkolenia 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pPr>
              <w:spacing w:after="125" w:line="251" w:lineRule="auto"/>
              <w:ind w:left="114"/>
            </w:pPr>
            <w:r>
              <w:rPr>
                <w:rFonts w:ascii="Tahoma" w:eastAsia="Tahoma" w:hAnsi="Tahoma" w:cs="Tahoma"/>
                <w:sz w:val="20"/>
              </w:rPr>
              <w:t xml:space="preserve">Cena dotyczy też wynajmu sali na różnego typu spotkania, o ile ich realizacja jest niezbędna i wynika z celu realizacji projektu, zaś cena powinna być niższa, jeśli koszt nie obejmuje wyposażenia określonego jak dla wynajmu sali szkoleniowej.  </w:t>
            </w:r>
          </w:p>
          <w:p w:rsidR="00D26D9F" w:rsidRDefault="00252E35">
            <w:pPr>
              <w:spacing w:after="124" w:line="252" w:lineRule="auto"/>
              <w:ind w:left="114" w:right="95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Cena obejmuje wynajem krótkoterminowy (w przypadku wynajmu sal szkoleniowych na okres dłuższy niż 80 godzin zegarowych cena powinna być niższa).  </w:t>
            </w:r>
          </w:p>
          <w:p w:rsidR="00D26D9F" w:rsidRDefault="00252E35">
            <w:pPr>
              <w:spacing w:after="124" w:line="252" w:lineRule="auto"/>
              <w:ind w:left="114" w:right="101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Cena nie dotyczy wynajmu specjalistycznych sal szkoleniowych, np. sal komputerowych lub sal wyposażonych w sprzęt specjalistyczny umożliwiający udział w szkoleniach osób z innymi rodzajami niepełnosprawności niż niepełnosprawność ruchowa (np. sala z pętlą indukcyjną). </w:t>
            </w:r>
          </w:p>
          <w:p w:rsidR="00D26D9F" w:rsidRDefault="00252E35">
            <w:pPr>
              <w:ind w:left="114"/>
            </w:pPr>
            <w:r>
              <w:rPr>
                <w:rFonts w:ascii="Tahoma" w:eastAsia="Tahoma" w:hAnsi="Tahoma" w:cs="Tahoma"/>
                <w:sz w:val="20"/>
              </w:rPr>
              <w:t xml:space="preserve">Cena dotyczy wynajmu sali do 40 osób. </w:t>
            </w:r>
          </w:p>
        </w:tc>
      </w:tr>
    </w:tbl>
    <w:p w:rsidR="00D26D9F" w:rsidRDefault="00D26D9F">
      <w:pPr>
        <w:spacing w:after="0"/>
        <w:ind w:left="-1403" w:right="15405"/>
      </w:pPr>
    </w:p>
    <w:tbl>
      <w:tblPr>
        <w:tblStyle w:val="TableGrid"/>
        <w:tblW w:w="14123" w:type="dxa"/>
        <w:tblInd w:w="8" w:type="dxa"/>
        <w:tblCellMar>
          <w:top w:w="30" w:type="dxa"/>
          <w:left w:w="114" w:type="dxa"/>
          <w:right w:w="62" w:type="dxa"/>
        </w:tblCellMar>
        <w:tblLook w:val="04A0" w:firstRow="1" w:lastRow="0" w:firstColumn="1" w:lastColumn="0" w:noHBand="0" w:noVBand="1"/>
      </w:tblPr>
      <w:tblGrid>
        <w:gridCol w:w="529"/>
        <w:gridCol w:w="1741"/>
        <w:gridCol w:w="5680"/>
        <w:gridCol w:w="1982"/>
        <w:gridCol w:w="4191"/>
      </w:tblGrid>
      <w:tr w:rsidR="00D26D9F">
        <w:trPr>
          <w:trHeight w:val="2955"/>
        </w:trPr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pPr>
              <w:ind w:left="12"/>
            </w:pPr>
            <w:r>
              <w:rPr>
                <w:rFonts w:ascii="Tahoma" w:eastAsia="Tahoma" w:hAnsi="Tahoma" w:cs="Tahoma"/>
                <w:b/>
                <w:sz w:val="20"/>
              </w:rPr>
              <w:lastRenderedPageBreak/>
              <w:t xml:space="preserve">2. 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r>
              <w:rPr>
                <w:rFonts w:ascii="Tahoma" w:eastAsia="Tahoma" w:hAnsi="Tahoma" w:cs="Tahoma"/>
                <w:b/>
                <w:sz w:val="20"/>
              </w:rPr>
              <w:t>Przerwa kawowa</w:t>
            </w:r>
            <w:r>
              <w:rPr>
                <w:rFonts w:ascii="Tahoma" w:eastAsia="Tahoma" w:hAnsi="Tahoma" w:cs="Tahoma"/>
                <w:b/>
                <w:sz w:val="20"/>
                <w:vertAlign w:val="superscript"/>
              </w:rPr>
              <w:footnoteReference w:id="1"/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pPr>
              <w:spacing w:after="108" w:line="256" w:lineRule="auto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Wydatek kwalifikowalny, o ile jest to uzasadnione specyfiką realizowanego projektu. </w:t>
            </w:r>
          </w:p>
          <w:p w:rsidR="00D26D9F" w:rsidRDefault="00252E35">
            <w:pPr>
              <w:spacing w:after="119" w:line="256" w:lineRule="auto"/>
            </w:pPr>
            <w:r>
              <w:rPr>
                <w:rFonts w:ascii="Tahoma" w:eastAsia="Tahoma" w:hAnsi="Tahoma" w:cs="Tahoma"/>
                <w:sz w:val="20"/>
              </w:rPr>
              <w:t xml:space="preserve">Wydatek kwalifikowalny, o ile forma wsparcia, w ramach której ma być świadczona przerwa kawowa dotyczy tej samej grupy osób i nie jest przewidziany zimny bufet. </w:t>
            </w:r>
          </w:p>
          <w:p w:rsidR="00D26D9F" w:rsidRDefault="00252E35">
            <w:pPr>
              <w:ind w:right="218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Obejmuje kawę, herbatę, wodę, mleko, cukier, cytryna,  drobne słone lub słodkie przekąski typu paluszki lub kruche ciastka lub owoce, przy czym istnieje możliwość szerszego zakresu usługi, o ile mieści się w określonej cenie rynkowej. 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pPr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15 PLN/ osobę/ dzień szkoleniowy 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pPr>
              <w:ind w:right="82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Cena rynkowa powinna być uzależniona od rodzaju oferowanej usługi i jest niższa, jeśli finansowany jest mniejszy zakres usługi (np. kawa, herbata, woda, mleko, cukier, cytryna bez drobnych słonych lub słodkich przekąsek). </w:t>
            </w:r>
          </w:p>
        </w:tc>
      </w:tr>
      <w:tr w:rsidR="00D26D9F">
        <w:trPr>
          <w:trHeight w:val="3603"/>
        </w:trPr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pPr>
              <w:ind w:left="12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3. 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r>
              <w:rPr>
                <w:rFonts w:ascii="Tahoma" w:eastAsia="Tahoma" w:hAnsi="Tahoma" w:cs="Tahoma"/>
                <w:b/>
                <w:sz w:val="20"/>
              </w:rPr>
              <w:t>Lunch/ obiad/ kolacja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pPr>
              <w:spacing w:after="120" w:line="256" w:lineRule="auto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Wydatek kwalifikowalny, o ile jest to uzasadnione specyfiką realizowanego projektu. </w:t>
            </w:r>
          </w:p>
          <w:p w:rsidR="00D26D9F" w:rsidRDefault="00252E35">
            <w:pPr>
              <w:spacing w:after="125" w:line="250" w:lineRule="auto"/>
              <w:ind w:right="65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Obejmuje dwa dania (zupa i drugie danie) oraz napój, przy czym istnieje możliwość szerszego zakresu usługi, o ile mieści się w określonej cenie rynkowej. </w:t>
            </w:r>
          </w:p>
          <w:p w:rsidR="00D26D9F" w:rsidRDefault="00252E35">
            <w:pPr>
              <w:spacing w:after="124" w:line="252" w:lineRule="auto"/>
              <w:ind w:right="467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W przypadku lunch/ obiadu wydatek kwalifikowalny, o ile wsparcie dla tej samej grupy osób w danym dniu trwa co najmniej 6 godzin lekcyjnych (tj. 6 x 45 minut) i nie jest przewidziany zimny bufet. </w:t>
            </w:r>
          </w:p>
          <w:p w:rsidR="00D26D9F" w:rsidRDefault="00252E35">
            <w:pPr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W przypadku kolacji wydatek kwalifikowalny, o ile finansowana jest usługa noclegowa. 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r>
              <w:rPr>
                <w:rFonts w:ascii="Tahoma" w:eastAsia="Tahoma" w:hAnsi="Tahoma" w:cs="Tahoma"/>
                <w:sz w:val="20"/>
              </w:rPr>
              <w:t xml:space="preserve">44 PLN/ osobę/ posiłek 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pPr>
              <w:ind w:right="82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Cena rynkowa powinna być uzależniona od rodzaju oferowanej usługi i jest niższa, jeśli finansowany jest mniejszy zakres usługi (np. obiad składający się tylko z drugiego dania i napoju). </w:t>
            </w:r>
          </w:p>
        </w:tc>
      </w:tr>
      <w:tr w:rsidR="00D26D9F">
        <w:trPr>
          <w:trHeight w:val="6066"/>
        </w:trPr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pPr>
              <w:ind w:left="12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4. 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r>
              <w:rPr>
                <w:rFonts w:ascii="Tahoma" w:eastAsia="Tahoma" w:hAnsi="Tahoma" w:cs="Tahoma"/>
                <w:b/>
                <w:sz w:val="20"/>
              </w:rPr>
              <w:t>Nocleg w kraju</w:t>
            </w:r>
            <w:r>
              <w:rPr>
                <w:rFonts w:ascii="Tahoma" w:eastAsia="Tahoma" w:hAnsi="Tahoma" w:cs="Tahoma"/>
                <w:b/>
                <w:sz w:val="20"/>
                <w:vertAlign w:val="superscript"/>
              </w:rPr>
              <w:footnoteReference w:id="2"/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pPr>
              <w:spacing w:after="108" w:line="256" w:lineRule="auto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Wydatek kwalifikowalny, o ile jest to uzasadnione specyfiką realizowanego projektu. </w:t>
            </w:r>
          </w:p>
          <w:p w:rsidR="00D26D9F" w:rsidRDefault="00252E35">
            <w:pPr>
              <w:spacing w:after="119" w:line="256" w:lineRule="auto"/>
              <w:ind w:right="210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Możliwość zagwarantowania noclegu dotyczy uczestników, którzy posiadają miejsce zamieszkania w miejscowości innej niż ta miejscowość, w której odbywa się szkolenie. </w:t>
            </w:r>
          </w:p>
          <w:p w:rsidR="00D26D9F" w:rsidRDefault="00252E35">
            <w:pPr>
              <w:spacing w:after="132" w:line="244" w:lineRule="auto"/>
            </w:pPr>
            <w:r>
              <w:rPr>
                <w:rFonts w:ascii="Tahoma" w:eastAsia="Tahoma" w:hAnsi="Tahoma" w:cs="Tahoma"/>
                <w:sz w:val="20"/>
              </w:rPr>
              <w:t xml:space="preserve">Wydatek kwalifikowalny, o ile wsparcie (np. szkolenie, spotkanie) dla tej samej grupy osób trwa co najmniej 2 dni. </w:t>
            </w:r>
          </w:p>
          <w:p w:rsidR="00D26D9F" w:rsidRDefault="00252E35">
            <w:pPr>
              <w:spacing w:after="124" w:line="252" w:lineRule="auto"/>
              <w:ind w:right="147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W przypadku wsparcia trwającego nie dłużej niż jeden dzień wydatek kwalifikowalny w sytuacji, gdy miejsce prowadzenia szkolenia/spotkania jest oddalone od miejsca zamieszkania osoby w nim uczestniczącej o więcej niż 50 km (drogą publiczną, a nie w linii prostej), a jednocześnie wsparcie zaczyna się nie później niż o godzinie 9.00 lub kończy się po godzinie 17.00, chyba że nie ma dostępnego dojazdu publicznymi środkami transportu. </w:t>
            </w:r>
          </w:p>
          <w:p w:rsidR="00D26D9F" w:rsidRDefault="00252E35">
            <w:pPr>
              <w:ind w:right="68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Obejmuje nocleg w miejscu noclegowym o standardzie maksymalnie hotelu 3* wraz ze śniadaniem, przy czym istnieje możliwość szerszego zakresu usługi, o ile mieści się w określonej cenie rynkowej i jest to uzasadnione celami projektu. 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r>
              <w:rPr>
                <w:rFonts w:ascii="Tahoma" w:eastAsia="Tahoma" w:hAnsi="Tahoma" w:cs="Tahoma"/>
                <w:sz w:val="20"/>
              </w:rPr>
              <w:t xml:space="preserve">Hotel o </w:t>
            </w:r>
          </w:p>
          <w:p w:rsidR="00D26D9F" w:rsidRDefault="00252E35">
            <w:pPr>
              <w:spacing w:after="131" w:line="244" w:lineRule="auto"/>
            </w:pPr>
            <w:r>
              <w:rPr>
                <w:rFonts w:ascii="Tahoma" w:eastAsia="Tahoma" w:hAnsi="Tahoma" w:cs="Tahoma"/>
                <w:sz w:val="20"/>
              </w:rPr>
              <w:t xml:space="preserve">maksymalnym standardzie 3*: </w:t>
            </w:r>
          </w:p>
          <w:p w:rsidR="00D26D9F" w:rsidRDefault="00252E35">
            <w:pPr>
              <w:numPr>
                <w:ilvl w:val="0"/>
                <w:numId w:val="1"/>
              </w:numPr>
              <w:ind w:hanging="132"/>
            </w:pPr>
            <w:r>
              <w:rPr>
                <w:rFonts w:ascii="Tahoma" w:eastAsia="Tahoma" w:hAnsi="Tahoma" w:cs="Tahoma"/>
                <w:sz w:val="20"/>
              </w:rPr>
              <w:t xml:space="preserve">240 PLN/1 nocleg </w:t>
            </w:r>
          </w:p>
          <w:p w:rsidR="00D26D9F" w:rsidRDefault="00252E35">
            <w:pPr>
              <w:spacing w:after="104"/>
            </w:pPr>
            <w:r>
              <w:rPr>
                <w:rFonts w:ascii="Tahoma" w:eastAsia="Tahoma" w:hAnsi="Tahoma" w:cs="Tahoma"/>
                <w:sz w:val="20"/>
              </w:rPr>
              <w:t xml:space="preserve">/ 1 osoba </w:t>
            </w:r>
          </w:p>
          <w:p w:rsidR="00D26D9F" w:rsidRDefault="00252E35">
            <w:pPr>
              <w:spacing w:after="116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D26D9F" w:rsidRDefault="00252E35">
            <w:pPr>
              <w:spacing w:after="124" w:line="252" w:lineRule="auto"/>
              <w:ind w:right="206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hotel o niższym standardzie niż 3* oraz pensjonat, motel itd.: </w:t>
            </w:r>
          </w:p>
          <w:p w:rsidR="00D26D9F" w:rsidRDefault="00252E35">
            <w:pPr>
              <w:numPr>
                <w:ilvl w:val="0"/>
                <w:numId w:val="1"/>
              </w:numPr>
              <w:ind w:hanging="132"/>
            </w:pPr>
            <w:r>
              <w:rPr>
                <w:rFonts w:ascii="Tahoma" w:eastAsia="Tahoma" w:hAnsi="Tahoma" w:cs="Tahoma"/>
                <w:sz w:val="20"/>
              </w:rPr>
              <w:t xml:space="preserve">130 PLN/1 nocleg </w:t>
            </w:r>
          </w:p>
          <w:p w:rsidR="00D26D9F" w:rsidRDefault="00252E35">
            <w:r>
              <w:rPr>
                <w:rFonts w:ascii="Tahoma" w:eastAsia="Tahoma" w:hAnsi="Tahoma" w:cs="Tahoma"/>
                <w:sz w:val="20"/>
              </w:rPr>
              <w:t xml:space="preserve">/ 1 osoba 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pPr>
              <w:spacing w:after="6" w:line="250" w:lineRule="auto"/>
              <w:ind w:right="81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Cena rynkowa powinna być uzależniona od rodzaju oferowanej usługi i jest niższa, jeśli finansowany jest mniejszy zakres usługi (np. </w:t>
            </w:r>
          </w:p>
          <w:p w:rsidR="00D26D9F" w:rsidRDefault="00252E35">
            <w:pPr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nocleg w pokoju wieloosobowym, tj. 3osobowym lub większym). </w:t>
            </w:r>
          </w:p>
        </w:tc>
      </w:tr>
    </w:tbl>
    <w:p w:rsidR="00D26D9F" w:rsidRDefault="00252E35">
      <w:pPr>
        <w:spacing w:after="120"/>
      </w:pPr>
      <w:r>
        <w:rPr>
          <w:rFonts w:ascii="Tahoma" w:eastAsia="Tahoma" w:hAnsi="Tahoma" w:cs="Tahoma"/>
        </w:rPr>
        <w:t xml:space="preserve"> </w:t>
      </w:r>
    </w:p>
    <w:p w:rsidR="00D26D9F" w:rsidRDefault="00252E35">
      <w:pPr>
        <w:spacing w:after="95"/>
        <w:ind w:left="-3" w:hanging="10"/>
      </w:pPr>
      <w:r>
        <w:rPr>
          <w:rFonts w:ascii="Tahoma" w:eastAsia="Tahoma" w:hAnsi="Tahoma" w:cs="Tahoma"/>
        </w:rPr>
        <w:t>*</w:t>
      </w:r>
      <w:r>
        <w:rPr>
          <w:rFonts w:ascii="Tahoma" w:eastAsia="Tahoma" w:hAnsi="Tahoma" w:cs="Tahoma"/>
          <w:sz w:val="19"/>
        </w:rPr>
        <w:t xml:space="preserve">Wskazówki stanowią zalecenia IZ PO WER dla wszystkich projektów PO WER, z wyłączeniem projektów pomocy technicznej.                                                                        </w:t>
      </w:r>
    </w:p>
    <w:p w:rsidR="00D26D9F" w:rsidRDefault="00252E35">
      <w:pPr>
        <w:spacing w:after="95"/>
        <w:ind w:left="-3" w:hanging="10"/>
      </w:pPr>
      <w:r>
        <w:rPr>
          <w:rFonts w:ascii="Tahoma" w:eastAsia="Tahoma" w:hAnsi="Tahoma" w:cs="Tahoma"/>
          <w:sz w:val="19"/>
        </w:rPr>
        <w:t>**Ceny wyliczone na podstawie rozeznania rynku dokumentowanego przez IZ PO WER (co najmniej 10 ofert do każdej pozycji), podane kwoty to ceny brutto.</w:t>
      </w:r>
      <w:r>
        <w:rPr>
          <w:rFonts w:ascii="Tahoma" w:eastAsia="Tahoma" w:hAnsi="Tahoma" w:cs="Tahoma"/>
          <w:sz w:val="18"/>
        </w:rPr>
        <w:t xml:space="preserve">         </w:t>
      </w:r>
    </w:p>
    <w:p w:rsidR="00D26D9F" w:rsidRDefault="00252E35">
      <w:pPr>
        <w:spacing w:after="0"/>
        <w:ind w:left="14"/>
      </w:pPr>
      <w:r>
        <w:t xml:space="preserve"> </w:t>
      </w:r>
    </w:p>
    <w:sectPr w:rsidR="00D26D9F">
      <w:headerReference w:type="even" r:id="rId7"/>
      <w:headerReference w:type="default" r:id="rId8"/>
      <w:headerReference w:type="first" r:id="rId9"/>
      <w:pgSz w:w="16836" w:h="11904" w:orient="landscape"/>
      <w:pgMar w:top="1856" w:right="1431" w:bottom="1408" w:left="140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57C" w:rsidRDefault="00252E35">
      <w:pPr>
        <w:spacing w:after="0" w:line="240" w:lineRule="auto"/>
      </w:pPr>
      <w:r>
        <w:separator/>
      </w:r>
    </w:p>
  </w:endnote>
  <w:endnote w:type="continuationSeparator" w:id="0">
    <w:p w:rsidR="00EF457C" w:rsidRDefault="0025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D9F" w:rsidRDefault="00252E35">
      <w:pPr>
        <w:spacing w:after="0" w:line="277" w:lineRule="auto"/>
        <w:jc w:val="both"/>
      </w:pPr>
      <w:r>
        <w:separator/>
      </w:r>
    </w:p>
  </w:footnote>
  <w:footnote w:type="continuationSeparator" w:id="0">
    <w:p w:rsidR="00D26D9F" w:rsidRDefault="00252E35">
      <w:pPr>
        <w:spacing w:after="0" w:line="277" w:lineRule="auto"/>
        <w:jc w:val="both"/>
      </w:pPr>
      <w:r>
        <w:continuationSeparator/>
      </w:r>
    </w:p>
  </w:footnote>
  <w:footnote w:id="1">
    <w:p w:rsidR="00D26D9F" w:rsidRDefault="00252E35">
      <w:pPr>
        <w:pStyle w:val="footnotedescription"/>
        <w:spacing w:line="277" w:lineRule="auto"/>
        <w:ind w:left="0"/>
        <w:jc w:val="both"/>
      </w:pPr>
      <w:r>
        <w:rPr>
          <w:rStyle w:val="footnotemark"/>
        </w:rPr>
        <w:footnoteRef/>
      </w:r>
      <w:r>
        <w:t xml:space="preserve"> W przypadku, gdy wsparcie dla tej samej grupy osób w danym dniu trwa powyżej 6 godzin lekcyjnych (tj. 6 x 45 minut) istnieje możliwość zapewnienia drugiej przerwy kawowej (dotyczy to również przypadku, gdy przewidziany jest zimny bufet). </w:t>
      </w:r>
    </w:p>
  </w:footnote>
  <w:footnote w:id="2">
    <w:p w:rsidR="00D26D9F" w:rsidRDefault="00252E35">
      <w:pPr>
        <w:pStyle w:val="footnotedescription"/>
        <w:spacing w:line="293" w:lineRule="auto"/>
        <w:ind w:left="14"/>
      </w:pPr>
      <w:r>
        <w:rPr>
          <w:rStyle w:val="footnotemark"/>
        </w:rPr>
        <w:footnoteRef/>
      </w:r>
      <w:r>
        <w:t xml:space="preserve"> Nie dotyczy noclegów rozliczanych w ramach kosztów delegacji; w takim przypadku koszty przysługujące z tytułu podróży służbowych powinny być zgodne z </w:t>
      </w:r>
      <w:r>
        <w:rPr>
          <w:i/>
        </w:rPr>
        <w:t>rozporządzeniem Ministra Pracy i Polityki Społecznej z dnia 29 stycznia 2013 r. w sprawie należności przysługujących pracownikowi zatrudnionemu w państwowej lub samorządowej jednostce sfery budżetowej z tytułu podróży służbowe.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D9F" w:rsidRDefault="00252E35">
    <w:pPr>
      <w:spacing w:after="0"/>
      <w:ind w:right="1883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2247900</wp:posOffset>
          </wp:positionH>
          <wp:positionV relativeFrom="page">
            <wp:posOffset>449580</wp:posOffset>
          </wp:positionV>
          <wp:extent cx="5760720" cy="72390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D9F" w:rsidRDefault="00252E35">
    <w:pPr>
      <w:spacing w:after="0"/>
      <w:ind w:right="1883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2247900</wp:posOffset>
          </wp:positionH>
          <wp:positionV relativeFrom="page">
            <wp:posOffset>449580</wp:posOffset>
          </wp:positionV>
          <wp:extent cx="5760720" cy="723900"/>
          <wp:effectExtent l="0" t="0" r="0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D9F" w:rsidRDefault="00252E35">
    <w:pPr>
      <w:spacing w:after="0"/>
      <w:ind w:right="1883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2247900</wp:posOffset>
          </wp:positionH>
          <wp:positionV relativeFrom="page">
            <wp:posOffset>449580</wp:posOffset>
          </wp:positionV>
          <wp:extent cx="5760720" cy="723900"/>
          <wp:effectExtent l="0" t="0" r="0" b="0"/>
          <wp:wrapSquare wrapText="bothSides"/>
          <wp:docPr id="2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562AB"/>
    <w:multiLevelType w:val="hybridMultilevel"/>
    <w:tmpl w:val="081C6476"/>
    <w:lvl w:ilvl="0" w:tplc="86ACE57E">
      <w:start w:val="1"/>
      <w:numFmt w:val="bullet"/>
      <w:lvlText w:val="-"/>
      <w:lvlJc w:val="left"/>
      <w:pPr>
        <w:ind w:left="1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04694">
      <w:start w:val="1"/>
      <w:numFmt w:val="bullet"/>
      <w:lvlText w:val="o"/>
      <w:lvlJc w:val="left"/>
      <w:pPr>
        <w:ind w:left="11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5ABF66">
      <w:start w:val="1"/>
      <w:numFmt w:val="bullet"/>
      <w:lvlText w:val="▪"/>
      <w:lvlJc w:val="left"/>
      <w:pPr>
        <w:ind w:left="19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C21172">
      <w:start w:val="1"/>
      <w:numFmt w:val="bullet"/>
      <w:lvlText w:val="•"/>
      <w:lvlJc w:val="left"/>
      <w:pPr>
        <w:ind w:left="26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BA0D5C">
      <w:start w:val="1"/>
      <w:numFmt w:val="bullet"/>
      <w:lvlText w:val="o"/>
      <w:lvlJc w:val="left"/>
      <w:pPr>
        <w:ind w:left="33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B4CB4E">
      <w:start w:val="1"/>
      <w:numFmt w:val="bullet"/>
      <w:lvlText w:val="▪"/>
      <w:lvlJc w:val="left"/>
      <w:pPr>
        <w:ind w:left="40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9EBBEC">
      <w:start w:val="1"/>
      <w:numFmt w:val="bullet"/>
      <w:lvlText w:val="•"/>
      <w:lvlJc w:val="left"/>
      <w:pPr>
        <w:ind w:left="47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D28A4A">
      <w:start w:val="1"/>
      <w:numFmt w:val="bullet"/>
      <w:lvlText w:val="o"/>
      <w:lvlJc w:val="left"/>
      <w:pPr>
        <w:ind w:left="55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4AC956">
      <w:start w:val="1"/>
      <w:numFmt w:val="bullet"/>
      <w:lvlText w:val="▪"/>
      <w:lvlJc w:val="left"/>
      <w:pPr>
        <w:ind w:left="62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9F"/>
    <w:rsid w:val="00252E35"/>
    <w:rsid w:val="00CC0CBB"/>
    <w:rsid w:val="00D26D9F"/>
    <w:rsid w:val="00E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56BC7-647A-444D-A50E-92827CD5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85" w:lineRule="auto"/>
      <w:ind w:left="7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Jaszczak</dc:creator>
  <cp:keywords/>
  <cp:lastModifiedBy>Natalia Wasielewska</cp:lastModifiedBy>
  <cp:revision>2</cp:revision>
  <dcterms:created xsi:type="dcterms:W3CDTF">2023-02-28T12:52:00Z</dcterms:created>
  <dcterms:modified xsi:type="dcterms:W3CDTF">2023-02-28T12:52:00Z</dcterms:modified>
</cp:coreProperties>
</file>