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9E04" w14:textId="4A29AE51" w:rsidR="007B7F63" w:rsidRDefault="007B7F63">
      <w:pPr>
        <w:spacing w:after="17"/>
        <w:ind w:left="-1" w:right="225" w:firstLine="0"/>
        <w:jc w:val="right"/>
      </w:pPr>
      <w:bookmarkStart w:id="0" w:name="_GoBack"/>
      <w:bookmarkEnd w:id="0"/>
    </w:p>
    <w:p w14:paraId="6A9FB8FF" w14:textId="392AC482"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</w:t>
      </w:r>
      <w:r w:rsidR="00CC2168">
        <w:rPr>
          <w:b/>
        </w:rPr>
        <w:t>7</w:t>
      </w:r>
      <w:r>
        <w:rPr>
          <w:b/>
        </w:rPr>
        <w:t xml:space="preserve"> do Zapytania Ofertowego </w:t>
      </w:r>
      <w:r>
        <w:t xml:space="preserve"> </w:t>
      </w:r>
    </w:p>
    <w:p w14:paraId="0C88FBA9" w14:textId="77777777" w:rsidR="007B7F63" w:rsidRDefault="00285ADC" w:rsidP="00A656F8">
      <w:pPr>
        <w:spacing w:after="267"/>
        <w:ind w:left="50" w:right="0"/>
      </w:pPr>
      <w:r>
        <w:rPr>
          <w:b/>
        </w:rPr>
        <w:t xml:space="preserve">KRYTERIA OCENY </w:t>
      </w:r>
    </w:p>
    <w:p w14:paraId="74CED2E2" w14:textId="61FA219D" w:rsidR="00537123" w:rsidRDefault="00CC2168" w:rsidP="00842902">
      <w:pPr>
        <w:spacing w:before="16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Ocenie podlegają wyłącznie oferty zgodne z treścią i przedmiotem zamówienia, zawierające wszystkie wymagane Zapytaniem Ofertowym dokumenty oraz spełniające warunki w nim określone. </w:t>
      </w:r>
      <w:r w:rsidR="00537123" w:rsidRPr="00537123">
        <w:rPr>
          <w:rFonts w:eastAsia="Calibri"/>
          <w:szCs w:val="24"/>
        </w:rPr>
        <w:t xml:space="preserve">Zamawiający oceni i </w:t>
      </w:r>
      <w:r w:rsidR="00842902">
        <w:rPr>
          <w:rFonts w:eastAsia="Calibri"/>
          <w:szCs w:val="24"/>
        </w:rPr>
        <w:t> </w:t>
      </w:r>
      <w:r w:rsidR="00537123" w:rsidRPr="00537123">
        <w:rPr>
          <w:rFonts w:eastAsia="Calibri"/>
          <w:szCs w:val="24"/>
        </w:rPr>
        <w:t>porówna te oferty, które nie zostaną odrzucone (tj. spełniające wymogi formalne oraz warunki udziału w postępowaniu).</w:t>
      </w:r>
    </w:p>
    <w:p w14:paraId="685F51FF" w14:textId="13D14DAD" w:rsidR="00CC2168" w:rsidRDefault="00537123" w:rsidP="00842902">
      <w:pPr>
        <w:spacing w:before="160" w:line="360" w:lineRule="auto"/>
        <w:jc w:val="left"/>
        <w:rPr>
          <w:rFonts w:eastAsia="Calibri"/>
          <w:szCs w:val="24"/>
        </w:rPr>
      </w:pPr>
      <w:r w:rsidRPr="00537123">
        <w:rPr>
          <w:rFonts w:eastAsia="Calibri"/>
          <w:szCs w:val="24"/>
        </w:rPr>
        <w:t>Zamawiający dokona oceny ważnych ofert na podstawie poniżej przedstawionych kryteriów oceny: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537123" w14:paraId="64295D8F" w14:textId="77777777" w:rsidTr="00537123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B9692" w14:textId="77777777" w:rsidR="00537123" w:rsidRDefault="00537123">
            <w:pPr>
              <w:keepNext/>
              <w:spacing w:line="360" w:lineRule="auto"/>
              <w:ind w:left="-676"/>
              <w:rPr>
                <w:rFonts w:ascii="Calibri" w:eastAsia="Trebuchet MS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37FA" w14:textId="77777777" w:rsidR="00537123" w:rsidRDefault="00537123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C62F6" w14:textId="77777777" w:rsidR="00537123" w:rsidRDefault="00537123">
            <w:pPr>
              <w:keepNext/>
              <w:spacing w:line="360" w:lineRule="auto"/>
              <w:rPr>
                <w:rFonts w:ascii="Calibri" w:eastAsia="Trebuchet MS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Waga kryterium </w:t>
            </w:r>
          </w:p>
          <w:p w14:paraId="212D5BD9" w14:textId="77777777" w:rsidR="00537123" w:rsidRDefault="00537123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w ocenie ofert</w:t>
            </w:r>
          </w:p>
        </w:tc>
      </w:tr>
      <w:tr w:rsidR="00537123" w14:paraId="2BB22BCA" w14:textId="77777777" w:rsidTr="00537123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2CF7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K1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B66E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>
              <w:rPr>
                <w:rFonts w:ascii="Calibri" w:hAnsi="Calibri" w:cs="Calibri"/>
              </w:rPr>
              <w:t>Konkurencyjna cena – proponowana stawka jednostkowa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645D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>
              <w:rPr>
                <w:rFonts w:ascii="Calibri" w:hAnsi="Calibri" w:cs="Calibri"/>
              </w:rPr>
              <w:t>40% (40 pkt)</w:t>
            </w:r>
          </w:p>
        </w:tc>
      </w:tr>
      <w:tr w:rsidR="00537123" w14:paraId="5F6E9ECE" w14:textId="77777777" w:rsidTr="00537123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9C5A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>
              <w:rPr>
                <w:rFonts w:ascii="Calibri" w:eastAsia="Trebuchet MS" w:hAnsi="Calibri" w:cs="Calibri"/>
              </w:rPr>
              <w:t>K2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1CD5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>
              <w:rPr>
                <w:rFonts w:ascii="Calibri" w:hAnsi="Calibri" w:cs="Calibri"/>
              </w:rPr>
              <w:t>Warunek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40633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>
              <w:rPr>
                <w:rFonts w:ascii="Calibri" w:hAnsi="Calibri" w:cs="Calibri"/>
              </w:rPr>
              <w:t>20% (20 pkt)</w:t>
            </w:r>
          </w:p>
        </w:tc>
      </w:tr>
      <w:tr w:rsidR="00537123" w14:paraId="6C1093B9" w14:textId="77777777" w:rsidTr="00537123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1B3B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K3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6A77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Warunek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54BC" w14:textId="77777777" w:rsidR="00537123" w:rsidRDefault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 (20 pkt)</w:t>
            </w:r>
          </w:p>
        </w:tc>
      </w:tr>
      <w:tr w:rsidR="00537123" w14:paraId="330EB59C" w14:textId="77777777" w:rsidTr="00537123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F0C8" w14:textId="27A7D1E3" w:rsidR="00537123" w:rsidRDefault="00537123" w:rsidP="00537123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rebuchet MS" w:hAnsi="Calibri" w:cs="Calibri"/>
              </w:rPr>
              <w:t>K</w:t>
            </w:r>
            <w:r>
              <w:rPr>
                <w:rFonts w:ascii="Calibri" w:eastAsia="Trebuchet MS" w:hAnsi="Calibri" w:cs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2E41" w14:textId="3E3FBEC2" w:rsidR="00537123" w:rsidRDefault="00537123" w:rsidP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485B" w14:textId="2E85E1C2" w:rsidR="00537123" w:rsidRDefault="00537123" w:rsidP="00537123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20% (20 pkt)</w:t>
            </w:r>
          </w:p>
        </w:tc>
      </w:tr>
    </w:tbl>
    <w:p w14:paraId="5F9DB4F8" w14:textId="591C2CE2" w:rsidR="00537123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W toku badania i oceny ofert Zamawiający może żądać od Wykonawców dodatkowych wyjaśnień dotyczących treści złożonych dokumentów oraz przedłożenia oryginałów dokumentów poświadczających wymagane doświadczenie, których kserokopie zostały załączone do oferty.</w:t>
      </w:r>
    </w:p>
    <w:p w14:paraId="24DFF2FC" w14:textId="4D2B07A0" w:rsid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b/>
          <w:bCs/>
          <w:szCs w:val="24"/>
        </w:rPr>
        <w:t>SPOSÓB OCENY OFERT</w:t>
      </w:r>
    </w:p>
    <w:p w14:paraId="1D56129A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Zamawiający wybierze oferty, które uzyskają największą liczbę punktów.</w:t>
      </w:r>
    </w:p>
    <w:p w14:paraId="0A1461C2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Łącznie możliwych do uzyskania jest 100 pkt (100%).</w:t>
      </w:r>
    </w:p>
    <w:p w14:paraId="4AF711B6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Ostateczna ilość punktów (OP) będzie obliczana wg następującego wzoru: </w:t>
      </w:r>
    </w:p>
    <w:p w14:paraId="036F62D7" w14:textId="77777777" w:rsidR="00A656F8" w:rsidRPr="00A656F8" w:rsidRDefault="00A656F8" w:rsidP="00A656F8">
      <w:pPr>
        <w:spacing w:before="160" w:line="360" w:lineRule="auto"/>
        <w:rPr>
          <w:rFonts w:eastAsia="Calibri"/>
          <w:szCs w:val="24"/>
        </w:rPr>
      </w:pPr>
    </w:p>
    <w:p w14:paraId="632F7EE9" w14:textId="77777777" w:rsidR="00A656F8" w:rsidRPr="00A656F8" w:rsidRDefault="00A656F8" w:rsidP="00A656F8">
      <w:pPr>
        <w:spacing w:before="160" w:line="360" w:lineRule="auto"/>
        <w:rPr>
          <w:rFonts w:eastAsia="Calibri"/>
          <w:szCs w:val="24"/>
        </w:rPr>
      </w:pPr>
    </w:p>
    <w:p w14:paraId="3024A250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OP = P1 + P2 + P3 + P4</w:t>
      </w:r>
    </w:p>
    <w:p w14:paraId="56BE5D77" w14:textId="4FF2256C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najkorzystniejszą zostanie uznana oferta, która uzyska największą liczbę punktów</w:t>
      </w:r>
      <w:r>
        <w:rPr>
          <w:rFonts w:eastAsia="Calibri"/>
          <w:szCs w:val="24"/>
        </w:rPr>
        <w:t xml:space="preserve"> </w:t>
      </w:r>
      <w:r w:rsidRPr="00A656F8">
        <w:rPr>
          <w:rFonts w:eastAsia="Calibri"/>
          <w:szCs w:val="24"/>
        </w:rPr>
        <w:t>z uwzględnieniem przyjętych wag dla poszczególnych kryteriów.</w:t>
      </w:r>
    </w:p>
    <w:p w14:paraId="0B2CC947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Punktacja dla kryterium „Konkurencyjna cena - proponowana stawka jednostkowa”: </w:t>
      </w:r>
    </w:p>
    <w:p w14:paraId="5032560D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Kryterium oceniane jest według wzoru:</w:t>
      </w:r>
    </w:p>
    <w:p w14:paraId="361BFF79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P1=((Cmin / Cof)*40%)*100, gdzie:</w:t>
      </w:r>
    </w:p>
    <w:p w14:paraId="6B249B1F" w14:textId="77777777" w:rsidR="00A656F8" w:rsidRPr="00A656F8" w:rsidRDefault="00A656F8" w:rsidP="00842902">
      <w:pPr>
        <w:numPr>
          <w:ilvl w:val="0"/>
          <w:numId w:val="4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P1 - liczba punktów przyznanych ofercie, </w:t>
      </w:r>
    </w:p>
    <w:p w14:paraId="765FF01D" w14:textId="6811ABB4" w:rsidR="00A656F8" w:rsidRPr="00A656F8" w:rsidRDefault="00A656F8" w:rsidP="00842902">
      <w:pPr>
        <w:numPr>
          <w:ilvl w:val="0"/>
          <w:numId w:val="4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Cmin</w:t>
      </w:r>
      <w:r>
        <w:rPr>
          <w:rFonts w:eastAsia="Calibri"/>
          <w:szCs w:val="24"/>
        </w:rPr>
        <w:t xml:space="preserve"> </w:t>
      </w:r>
      <w:r w:rsidRPr="00A656F8">
        <w:rPr>
          <w:rFonts w:eastAsia="Calibri"/>
          <w:szCs w:val="24"/>
        </w:rPr>
        <w:t xml:space="preserve">-najniższa zaoferowana cena, </w:t>
      </w:r>
    </w:p>
    <w:p w14:paraId="598B927A" w14:textId="77777777" w:rsidR="00A656F8" w:rsidRPr="00A656F8" w:rsidRDefault="00A656F8" w:rsidP="00842902">
      <w:pPr>
        <w:numPr>
          <w:ilvl w:val="0"/>
          <w:numId w:val="4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Cof -cena oferty ocenianej, </w:t>
      </w:r>
    </w:p>
    <w:p w14:paraId="5A7F3B98" w14:textId="77777777" w:rsidR="00A656F8" w:rsidRPr="00A656F8" w:rsidRDefault="00A656F8" w:rsidP="00842902">
      <w:pPr>
        <w:numPr>
          <w:ilvl w:val="0"/>
          <w:numId w:val="4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100 -współczynnik stały.</w:t>
      </w:r>
    </w:p>
    <w:p w14:paraId="5E1E17EC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Liczba uzyskanych punktów będzie zaokrąglana do dwóch miejsc po przecinku.</w:t>
      </w:r>
    </w:p>
    <w:p w14:paraId="4388B38B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Punktacja dla kryterium „Warunek nr 1” – P2:</w:t>
      </w:r>
    </w:p>
    <w:p w14:paraId="6E5CAA2B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Maksymalna liczba punktów dla tego kryterium wynosi 20. </w:t>
      </w:r>
    </w:p>
    <w:p w14:paraId="73F9292E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Oferta z największą liczbą punktów odpowiadających swoim rodzajem przedmiotowi zamówienia otrzyma 20 punktów. </w:t>
      </w:r>
    </w:p>
    <w:p w14:paraId="7E222802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 (p1+p2+….+pn)/N = liczba punktów (wartość średnia arytmetyczna dla wszystkich wskazanych przez Wykonawcę Ekspertów/Ekspertek)</w:t>
      </w:r>
    </w:p>
    <w:p w14:paraId="02DCC6A9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gdzie:</w:t>
      </w:r>
    </w:p>
    <w:p w14:paraId="6ABDEE46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N –</w:t>
      </w:r>
      <w:r w:rsidRPr="00A656F8">
        <w:rPr>
          <w:rFonts w:eastAsia="Calibri"/>
          <w:szCs w:val="24"/>
        </w:rPr>
        <w:tab/>
        <w:t>łączna liczba Ekspertów/Ekspertek, wskazana przez Wykonawcę, pi, gdzie i=&lt;1…n&gt;) - punktacja dla i-tego Eksperta/Ekspertki wskazanego/nej przez Wykonawcę, przy czym pi wynosi:</w:t>
      </w:r>
    </w:p>
    <w:p w14:paraId="136AEC12" w14:textId="77777777" w:rsidR="00A656F8" w:rsidRPr="00A656F8" w:rsidRDefault="00A656F8" w:rsidP="00842902">
      <w:pPr>
        <w:numPr>
          <w:ilvl w:val="0"/>
          <w:numId w:val="5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doświadczenie powyżej 48 miesięcy do 56 miesięcy – 5 pkt.</w:t>
      </w:r>
    </w:p>
    <w:p w14:paraId="07EF2398" w14:textId="77777777" w:rsidR="00A656F8" w:rsidRPr="00A656F8" w:rsidRDefault="00A656F8" w:rsidP="00842902">
      <w:pPr>
        <w:numPr>
          <w:ilvl w:val="0"/>
          <w:numId w:val="5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lastRenderedPageBreak/>
        <w:t>Za doświadczenie od 57 miesięcy do 69 miesięcy – 10 pkt.</w:t>
      </w:r>
    </w:p>
    <w:p w14:paraId="7C352268" w14:textId="77777777" w:rsidR="00A656F8" w:rsidRPr="00A656F8" w:rsidRDefault="00A656F8" w:rsidP="00842902">
      <w:pPr>
        <w:numPr>
          <w:ilvl w:val="0"/>
          <w:numId w:val="5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doświadczenie od 70 miesięcy do 82 miesięcy – 15 pkt.</w:t>
      </w:r>
    </w:p>
    <w:p w14:paraId="1D75E5B9" w14:textId="77777777" w:rsidR="00A656F8" w:rsidRPr="00A656F8" w:rsidRDefault="00A656F8" w:rsidP="00842902">
      <w:pPr>
        <w:numPr>
          <w:ilvl w:val="0"/>
          <w:numId w:val="5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doświadczenie powyżej 82 miesięcy – 20 pkt.</w:t>
      </w:r>
    </w:p>
    <w:p w14:paraId="4261B386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Punktacja dla kryterium „Warunek nr 2” – P3:</w:t>
      </w:r>
    </w:p>
    <w:p w14:paraId="279AF1BB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Maksymalna liczba punktów dla tego kryterium wynosi 20. </w:t>
      </w:r>
    </w:p>
    <w:p w14:paraId="7E385265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Oferta z największą liczbą punktów odpowiadających swoim rodzajem przedmiotowi zamówienia otrzyma 20 punktów. </w:t>
      </w:r>
    </w:p>
    <w:p w14:paraId="7D5888F8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p1+p2+….+pn)/N = liczba punktów (wartość średnia arytmetyczna dla wszystkich wskazanych przez Wykonawcę Ekspertów/Ekspertek)</w:t>
      </w:r>
    </w:p>
    <w:p w14:paraId="2B4D7864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gdzie:</w:t>
      </w:r>
    </w:p>
    <w:p w14:paraId="56107163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N –</w:t>
      </w:r>
      <w:r w:rsidRPr="00A656F8">
        <w:rPr>
          <w:rFonts w:eastAsia="Calibri"/>
          <w:szCs w:val="24"/>
        </w:rPr>
        <w:tab/>
        <w:t>łączna liczba Ekspertów/Ekspertek, wskazana przez Wykonawcę, pi, gdzie i=&lt;1…n&gt;) - punktacja dla i-tego Eksperta/Ekspertki wskazanego/nej przez Wykonawcę, przy czym pi wynosi:</w:t>
      </w:r>
    </w:p>
    <w:p w14:paraId="4FDAD3BB" w14:textId="77777777" w:rsidR="00A656F8" w:rsidRPr="00A656F8" w:rsidRDefault="00A656F8" w:rsidP="00842902">
      <w:pPr>
        <w:numPr>
          <w:ilvl w:val="0"/>
          <w:numId w:val="6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4 --5 publikacji/warsztatów/weryfikacji – kontroli dostępności – 5 pkt.</w:t>
      </w:r>
    </w:p>
    <w:p w14:paraId="18F994F0" w14:textId="77777777" w:rsidR="00A656F8" w:rsidRPr="00A656F8" w:rsidRDefault="00A656F8" w:rsidP="00842902">
      <w:pPr>
        <w:numPr>
          <w:ilvl w:val="0"/>
          <w:numId w:val="6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6-9 publikacji/warsztatów/weryfikacji – kontroli dostępności – 10 pkt.</w:t>
      </w:r>
    </w:p>
    <w:p w14:paraId="39D37329" w14:textId="77777777" w:rsidR="00A656F8" w:rsidRPr="00A656F8" w:rsidRDefault="00A656F8" w:rsidP="00842902">
      <w:pPr>
        <w:numPr>
          <w:ilvl w:val="0"/>
          <w:numId w:val="6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10-14 publikacji/warsztatów/weryfikacji – kontroli dostępności – 15 pkt.</w:t>
      </w:r>
    </w:p>
    <w:p w14:paraId="7FF5B9AB" w14:textId="77777777" w:rsidR="00A656F8" w:rsidRPr="00A656F8" w:rsidRDefault="00A656F8" w:rsidP="00842902">
      <w:pPr>
        <w:numPr>
          <w:ilvl w:val="0"/>
          <w:numId w:val="6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Za 15 i więcej publikacji/warsztatów/weryfikacji – kontroli dostępności – 20 pkt.</w:t>
      </w:r>
    </w:p>
    <w:p w14:paraId="19C4012A" w14:textId="77777777" w:rsidR="00A656F8" w:rsidRPr="00A656F8" w:rsidRDefault="00A656F8" w:rsidP="00842902">
      <w:pPr>
        <w:numPr>
          <w:ilvl w:val="0"/>
          <w:numId w:val="3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Punktacja dla kryterium „Warunek nr 3” – P4:</w:t>
      </w:r>
    </w:p>
    <w:p w14:paraId="0F6D6780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Maksymalna liczba punktów dla tego kryterium wynosi 20. </w:t>
      </w:r>
    </w:p>
    <w:p w14:paraId="732858A9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 xml:space="preserve">Oferta z największą liczbą punktów odpowiadających swoim rodzajem przedmiotowi zamówienia otrzyma 20 punktów. </w:t>
      </w:r>
    </w:p>
    <w:p w14:paraId="04BC1643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p1+p2+….+pn)/N = liczba punktów (wartość średnia arytmetyczna dla wszystkich wskazanych przez Wykonawcę Ekspertów/Ekspertek)</w:t>
      </w:r>
    </w:p>
    <w:p w14:paraId="3EAEABEE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</w:p>
    <w:p w14:paraId="4E06AE04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gdzie:</w:t>
      </w:r>
    </w:p>
    <w:p w14:paraId="714EA026" w14:textId="77777777" w:rsidR="00A656F8" w:rsidRP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N –</w:t>
      </w:r>
      <w:r w:rsidRPr="00A656F8">
        <w:rPr>
          <w:rFonts w:eastAsia="Calibri"/>
          <w:szCs w:val="24"/>
        </w:rPr>
        <w:tab/>
        <w:t>łączna liczba Ekspertów/Ekspertek, wskazana przez Wykonawcę, pi, gdzie i=&lt;1…n&gt;) - punktacja dla i-tego Eksperta/Ekspertki wskazanego/nej przez Wykonawcę, przy czym pi wynosi:</w:t>
      </w:r>
    </w:p>
    <w:p w14:paraId="17FA611A" w14:textId="77777777" w:rsidR="00A656F8" w:rsidRPr="00A656F8" w:rsidRDefault="00A656F8" w:rsidP="00842902">
      <w:pPr>
        <w:numPr>
          <w:ilvl w:val="0"/>
          <w:numId w:val="7"/>
        </w:num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Posiadanie stosownego wykształcenia – 10 punktów,</w:t>
      </w:r>
    </w:p>
    <w:p w14:paraId="7B6BE966" w14:textId="77777777" w:rsidR="00A656F8" w:rsidRPr="00A656F8" w:rsidRDefault="00A656F8" w:rsidP="00842902">
      <w:pPr>
        <w:numPr>
          <w:ilvl w:val="0"/>
          <w:numId w:val="7"/>
        </w:numPr>
        <w:spacing w:before="160" w:line="360" w:lineRule="auto"/>
        <w:jc w:val="left"/>
        <w:rPr>
          <w:rFonts w:eastAsia="Calibri"/>
          <w:bCs/>
          <w:szCs w:val="24"/>
        </w:rPr>
      </w:pPr>
      <w:r w:rsidRPr="00A656F8">
        <w:rPr>
          <w:rFonts w:eastAsia="Calibri"/>
          <w:szCs w:val="24"/>
        </w:rPr>
        <w:t xml:space="preserve">Posiadanie dodatkowego wykształcenie w zakresie spójnym z obszarem konkursu (przykładowo: drugi kierunek studiów, studia podyplomowe) – 20 pkt. </w:t>
      </w:r>
    </w:p>
    <w:p w14:paraId="78890CC3" w14:textId="160CB90A" w:rsidR="00A656F8" w:rsidRDefault="00A656F8" w:rsidP="00842902">
      <w:pPr>
        <w:spacing w:before="160" w:line="360" w:lineRule="auto"/>
        <w:jc w:val="left"/>
        <w:rPr>
          <w:rFonts w:eastAsia="Calibri"/>
          <w:szCs w:val="24"/>
        </w:rPr>
      </w:pPr>
      <w:r w:rsidRPr="00A656F8">
        <w:rPr>
          <w:rFonts w:eastAsia="Calibri"/>
          <w:szCs w:val="24"/>
        </w:rPr>
        <w:t>Kryteria zostaną zweryfikowane na podstawie szczegółowych informacji zawartych</w:t>
      </w:r>
      <w:r w:rsidR="00842902">
        <w:rPr>
          <w:rFonts w:eastAsia="Calibri"/>
          <w:szCs w:val="24"/>
        </w:rPr>
        <w:t xml:space="preserve"> </w:t>
      </w:r>
      <w:r w:rsidRPr="00A656F8">
        <w:rPr>
          <w:rFonts w:eastAsia="Calibri"/>
          <w:szCs w:val="24"/>
        </w:rPr>
        <w:t>w CV i załączonych kopiach dokumentów.</w:t>
      </w:r>
    </w:p>
    <w:p w14:paraId="044D1D78" w14:textId="74D60C1D" w:rsidR="00A656F8" w:rsidRPr="00842902" w:rsidRDefault="00842902" w:rsidP="00842902">
      <w:pPr>
        <w:spacing w:before="160" w:line="360" w:lineRule="auto"/>
        <w:jc w:val="left"/>
        <w:rPr>
          <w:rFonts w:eastAsia="Calibri"/>
          <w:b/>
          <w:szCs w:val="24"/>
          <w:u w:val="single"/>
        </w:rPr>
      </w:pPr>
      <w:r w:rsidRPr="00842902">
        <w:rPr>
          <w:rFonts w:eastAsia="Calibri"/>
          <w:b/>
          <w:szCs w:val="24"/>
          <w:u w:val="single"/>
        </w:rPr>
        <w:t>Zamawiający wybierze minimum 1 oferenta, a maksymalnie 4 oferentów.</w:t>
      </w:r>
    </w:p>
    <w:p w14:paraId="281C21F0" w14:textId="20F6A2C8" w:rsidR="00CC2168" w:rsidRDefault="00CC2168" w:rsidP="00842902">
      <w:pPr>
        <w:spacing w:before="160" w:after="16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Wszystkie obliczenia będą dokonywane z dokładnością do dwóch miejsc po przecinku. Zamawiający wybierze ofertę</w:t>
      </w:r>
      <w:r w:rsidR="00842902">
        <w:rPr>
          <w:rFonts w:eastAsia="Calibri"/>
          <w:szCs w:val="24"/>
        </w:rPr>
        <w:t>/y</w:t>
      </w:r>
      <w:r>
        <w:rPr>
          <w:rFonts w:eastAsia="Calibri"/>
          <w:szCs w:val="24"/>
        </w:rPr>
        <w:t>, która</w:t>
      </w:r>
      <w:r w:rsidR="00842902">
        <w:rPr>
          <w:rFonts w:eastAsia="Calibri"/>
          <w:szCs w:val="24"/>
        </w:rPr>
        <w:t>/e</w:t>
      </w:r>
      <w:r>
        <w:rPr>
          <w:rFonts w:eastAsia="Calibri"/>
          <w:szCs w:val="24"/>
        </w:rPr>
        <w:t xml:space="preserve"> uzyska</w:t>
      </w:r>
      <w:r w:rsidR="00842902">
        <w:rPr>
          <w:rFonts w:eastAsia="Calibri"/>
          <w:szCs w:val="24"/>
        </w:rPr>
        <w:t>/ły</w:t>
      </w:r>
      <w:r>
        <w:rPr>
          <w:rFonts w:eastAsia="Calibri"/>
          <w:szCs w:val="24"/>
        </w:rPr>
        <w:t xml:space="preserve"> najwyższą liczbę punktów stanowiącą sumę punktów uzyskanych z poszczególnych kryteriów.</w:t>
      </w:r>
    </w:p>
    <w:p w14:paraId="5A4ECB07" w14:textId="4FA11FAE" w:rsidR="00CC2168" w:rsidRDefault="00CC2168" w:rsidP="00842902">
      <w:pPr>
        <w:spacing w:before="160" w:after="16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O wyborze najkorzystniejszych ofert (</w:t>
      </w:r>
      <w:r w:rsidR="00842902">
        <w:rPr>
          <w:rFonts w:eastAsia="Calibri"/>
          <w:szCs w:val="24"/>
        </w:rPr>
        <w:t>minimum 1 a maksymalnie 4</w:t>
      </w:r>
      <w:r>
        <w:rPr>
          <w:rFonts w:eastAsia="Calibri"/>
          <w:szCs w:val="24"/>
        </w:rPr>
        <w:t>) Zamawiający zawiadomi Wykonawców za pośrednictwem poczty elektronicznej. Jeżeli Zamawiający nie będzie mógł wybrać najkorzystniejszych ofert ze względu na to, że część złożonych ofert w wyniku oceny otrzymała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14:paraId="7822E3B0" w14:textId="5024E84C" w:rsidR="007B7F63" w:rsidRPr="00842902" w:rsidRDefault="00CC2168" w:rsidP="00842902">
      <w:pPr>
        <w:spacing w:before="240" w:after="160" w:line="360" w:lineRule="auto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>Zamawiający jest uprawniony do wyboru kolejnej najkorzystniejszej oferty w  przypadku, gdyby Wykonawca, którego oferta została uznana za korzystniejszą odmówił podpisania umowy lub gdyby podpisanie umowy z takim Wykonawcą stało się niemożliwe z innych przyczyn.</w:t>
      </w:r>
    </w:p>
    <w:sectPr w:rsidR="007B7F63" w:rsidRPr="00842902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1A6E" w14:textId="77777777" w:rsidR="007741E7" w:rsidRDefault="007741E7" w:rsidP="00917237">
      <w:pPr>
        <w:spacing w:after="0" w:line="240" w:lineRule="auto"/>
      </w:pPr>
      <w:r>
        <w:separator/>
      </w:r>
    </w:p>
  </w:endnote>
  <w:endnote w:type="continuationSeparator" w:id="0">
    <w:p w14:paraId="721F4607" w14:textId="77777777" w:rsidR="007741E7" w:rsidRDefault="007741E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91045"/>
      <w:docPartObj>
        <w:docPartGallery w:val="Page Numbers (Bottom of Page)"/>
        <w:docPartUnique/>
      </w:docPartObj>
    </w:sdtPr>
    <w:sdtContent>
      <w:p w14:paraId="61E2314B" w14:textId="0D360B6B" w:rsidR="00135DAC" w:rsidRDefault="00135D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10295A" w14:textId="77777777"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9DC39" w14:textId="77777777" w:rsidR="007741E7" w:rsidRDefault="007741E7" w:rsidP="00917237">
      <w:pPr>
        <w:spacing w:after="0" w:line="240" w:lineRule="auto"/>
      </w:pPr>
      <w:r>
        <w:separator/>
      </w:r>
    </w:p>
  </w:footnote>
  <w:footnote w:type="continuationSeparator" w:id="0">
    <w:p w14:paraId="5B8E961F" w14:textId="77777777" w:rsidR="007741E7" w:rsidRDefault="007741E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BC3B" w14:textId="77777777" w:rsidR="00917237" w:rsidRDefault="00917237">
    <w:pPr>
      <w:pStyle w:val="Nagwek"/>
    </w:pPr>
    <w:r>
      <w:rPr>
        <w:noProof/>
      </w:rPr>
      <w:drawing>
        <wp:inline distT="0" distB="0" distL="0" distR="0" wp14:anchorId="2E208FE4" wp14:editId="323CE456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F474C5"/>
    <w:multiLevelType w:val="hybridMultilevel"/>
    <w:tmpl w:val="FDFC582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84C8A"/>
    <w:multiLevelType w:val="hybridMultilevel"/>
    <w:tmpl w:val="0BCCD02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135DAC"/>
    <w:rsid w:val="00285ADC"/>
    <w:rsid w:val="003015DB"/>
    <w:rsid w:val="00321634"/>
    <w:rsid w:val="004F01ED"/>
    <w:rsid w:val="004F089E"/>
    <w:rsid w:val="00504D8C"/>
    <w:rsid w:val="00507B5D"/>
    <w:rsid w:val="00531A10"/>
    <w:rsid w:val="00537123"/>
    <w:rsid w:val="00683942"/>
    <w:rsid w:val="0074297A"/>
    <w:rsid w:val="00743918"/>
    <w:rsid w:val="007741E7"/>
    <w:rsid w:val="007B7F63"/>
    <w:rsid w:val="00842902"/>
    <w:rsid w:val="00847826"/>
    <w:rsid w:val="00917237"/>
    <w:rsid w:val="009E4493"/>
    <w:rsid w:val="00A6339D"/>
    <w:rsid w:val="00A656F8"/>
    <w:rsid w:val="00B229B5"/>
    <w:rsid w:val="00CC2168"/>
    <w:rsid w:val="00E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958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55</cp:revision>
  <dcterms:created xsi:type="dcterms:W3CDTF">2022-09-19T12:30:00Z</dcterms:created>
  <dcterms:modified xsi:type="dcterms:W3CDTF">2023-08-09T09:12:00Z</dcterms:modified>
</cp:coreProperties>
</file>