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675B6873"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3D594F" w:rsidRPr="00C510CF">
        <w:rPr>
          <w:rFonts w:eastAsia="Times New Roman" w:cs="Arial"/>
          <w:b/>
          <w:sz w:val="24"/>
          <w:szCs w:val="24"/>
          <w:lang w:eastAsia="pl-PL"/>
        </w:rPr>
        <w:t>2</w:t>
      </w:r>
      <w:r w:rsidR="00B057B9" w:rsidRPr="00C510CF">
        <w:rPr>
          <w:rFonts w:eastAsia="Times New Roman" w:cs="Arial"/>
          <w:b/>
          <w:sz w:val="24"/>
          <w:szCs w:val="24"/>
          <w:lang w:eastAsia="pl-PL"/>
        </w:rPr>
        <w:t>9</w:t>
      </w:r>
      <w:r w:rsidR="003A36C9" w:rsidRPr="00C510CF">
        <w:rPr>
          <w:rFonts w:eastAsia="Times New Roman" w:cs="Arial"/>
          <w:b/>
          <w:sz w:val="24"/>
          <w:szCs w:val="24"/>
          <w:lang w:eastAsia="pl-PL"/>
        </w:rPr>
        <w:t>/</w:t>
      </w:r>
      <w:r w:rsidR="002651A7" w:rsidRPr="00C510CF">
        <w:rPr>
          <w:rFonts w:cs="Arial"/>
          <w:b/>
          <w:sz w:val="24"/>
          <w:szCs w:val="24"/>
        </w:rPr>
        <w:t>2022</w:t>
      </w:r>
      <w:r w:rsidR="00CF2A2C" w:rsidRPr="00C510CF">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1C1AA625"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C452EE">
        <w:rPr>
          <w:rFonts w:eastAsia="Times New Roman" w:cs="Arial"/>
          <w:sz w:val="24"/>
          <w:szCs w:val="24"/>
          <w:lang w:eastAsia="pl-PL"/>
        </w:rPr>
        <w:t>2</w:t>
      </w:r>
      <w:r w:rsidR="003424E4">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C40AFA">
        <w:rPr>
          <w:rFonts w:eastAsia="Times New Roman" w:cs="Arial"/>
          <w:sz w:val="24"/>
          <w:szCs w:val="24"/>
          <w:lang w:eastAsia="pl-PL"/>
        </w:rPr>
        <w:t>.</w:t>
      </w:r>
    </w:p>
    <w:p w14:paraId="0BF4232B" w14:textId="22B35141"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AB5FA2">
        <w:rPr>
          <w:rFonts w:cs="Arial"/>
          <w:sz w:val="24"/>
          <w:szCs w:val="24"/>
        </w:rPr>
        <w:t>15</w:t>
      </w:r>
      <w:r w:rsidR="00016417" w:rsidRPr="00726477">
        <w:rPr>
          <w:rFonts w:cs="Arial"/>
          <w:sz w:val="24"/>
          <w:szCs w:val="24"/>
        </w:rPr>
        <w:t xml:space="preserve"> uczestników/-czek</w:t>
      </w:r>
      <w:r w:rsidR="002651A7" w:rsidRPr="00726477">
        <w:rPr>
          <w:rFonts w:cs="Arial"/>
          <w:sz w:val="24"/>
          <w:szCs w:val="24"/>
        </w:rPr>
        <w:t xml:space="preserve">. 1 nocleg dla </w:t>
      </w:r>
      <w:r w:rsidR="00160273">
        <w:rPr>
          <w:rFonts w:cs="Arial"/>
          <w:sz w:val="24"/>
          <w:szCs w:val="24"/>
        </w:rPr>
        <w:t xml:space="preserve">maksymalnie </w:t>
      </w:r>
      <w:r w:rsidR="002613E9">
        <w:rPr>
          <w:rFonts w:cs="Arial"/>
          <w:sz w:val="24"/>
          <w:szCs w:val="24"/>
        </w:rPr>
        <w:t>1</w:t>
      </w:r>
      <w:r w:rsidR="00160273">
        <w:rPr>
          <w:rFonts w:cs="Arial"/>
          <w:sz w:val="24"/>
          <w:szCs w:val="24"/>
        </w:rPr>
        <w:t>5</w:t>
      </w:r>
      <w:r w:rsidR="002651A7" w:rsidRPr="00726477">
        <w:rPr>
          <w:rFonts w:cs="Arial"/>
          <w:sz w:val="24"/>
          <w:szCs w:val="24"/>
        </w:rPr>
        <w:t xml:space="preserve"> </w:t>
      </w:r>
      <w:r w:rsidRPr="00726477">
        <w:rPr>
          <w:rFonts w:cs="Arial"/>
          <w:sz w:val="24"/>
          <w:szCs w:val="24"/>
        </w:rPr>
        <w:t>uczestników/-ek</w:t>
      </w:r>
      <w:r w:rsidR="002145BC">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3FA92C7D"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FA70DF">
        <w:rPr>
          <w:rFonts w:ascii="Arial" w:hAnsi="Arial" w:cs="Arial"/>
          <w:b/>
        </w:rPr>
        <w:t>01-02</w:t>
      </w:r>
      <w:r>
        <w:rPr>
          <w:rFonts w:ascii="Arial" w:hAnsi="Arial" w:cs="Arial"/>
          <w:b/>
        </w:rPr>
        <w:t>.</w:t>
      </w:r>
      <w:r w:rsidR="00C452EE">
        <w:rPr>
          <w:rFonts w:ascii="Arial" w:hAnsi="Arial" w:cs="Arial"/>
          <w:b/>
        </w:rPr>
        <w:t>1</w:t>
      </w:r>
      <w:r w:rsidR="00371EE4">
        <w:rPr>
          <w:rFonts w:ascii="Arial" w:hAnsi="Arial" w:cs="Arial"/>
          <w:b/>
        </w:rPr>
        <w:t>2</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7A26A860"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452EE">
        <w:rPr>
          <w:rFonts w:cs="Arial"/>
          <w:sz w:val="24"/>
          <w:szCs w:val="24"/>
        </w:rPr>
        <w:t>2</w:t>
      </w:r>
      <w:r w:rsidR="00016417">
        <w:rPr>
          <w:rFonts w:cs="Arial"/>
          <w:sz w:val="24"/>
          <w:szCs w:val="24"/>
        </w:rPr>
        <w:t>-</w:t>
      </w:r>
      <w:r w:rsidR="0000145C">
        <w:rPr>
          <w:rFonts w:cs="Arial"/>
          <w:sz w:val="24"/>
          <w:szCs w:val="24"/>
        </w:rPr>
        <w:t>1</w:t>
      </w:r>
      <w:r w:rsidR="00043EFB">
        <w:rPr>
          <w:rFonts w:cs="Arial"/>
          <w:sz w:val="24"/>
          <w:szCs w:val="24"/>
        </w:rPr>
        <w:t>5</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10749243"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w:t>
      </w:r>
      <w:r w:rsidRPr="00B41378">
        <w:rPr>
          <w:rFonts w:cs="Arial"/>
          <w:sz w:val="24"/>
          <w:szCs w:val="24"/>
        </w:rPr>
        <w:lastRenderedPageBreak/>
        <w:t xml:space="preserve">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CD2B52">
        <w:rPr>
          <w:rFonts w:cs="Arial"/>
          <w:sz w:val="24"/>
          <w:szCs w:val="24"/>
        </w:rPr>
        <w:t>15</w:t>
      </w:r>
      <w:r w:rsidRPr="00B41378">
        <w:rPr>
          <w:rFonts w:cs="Arial"/>
          <w:sz w:val="24"/>
          <w:szCs w:val="24"/>
        </w:rPr>
        <w:t xml:space="preserve"> uczestników/-czek szkolenia oraz 2 trenerów/-ek. </w:t>
      </w:r>
      <w:r w:rsidR="008465B8">
        <w:rPr>
          <w:rFonts w:cs="Arial"/>
          <w:sz w:val="24"/>
          <w:szCs w:val="24"/>
        </w:rPr>
        <w:br/>
      </w:r>
      <w:r w:rsidRPr="00B41378">
        <w:rPr>
          <w:rFonts w:cs="Arial"/>
          <w:sz w:val="24"/>
          <w:szCs w:val="24"/>
        </w:rPr>
        <w:t>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07AF4ED0"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w:t>
      </w:r>
      <w:r w:rsidR="000228F7">
        <w:rPr>
          <w:rFonts w:eastAsia="Times New Roman" w:cs="Arial"/>
          <w:sz w:val="24"/>
          <w:szCs w:val="24"/>
          <w:lang w:eastAsia="pl-PL"/>
        </w:rPr>
        <w:t xml:space="preserve"> 1</w:t>
      </w:r>
      <w:r w:rsidR="00CE7954">
        <w:rPr>
          <w:rFonts w:eastAsia="Times New Roman" w:cs="Arial"/>
          <w:sz w:val="24"/>
          <w:szCs w:val="24"/>
          <w:lang w:eastAsia="pl-PL"/>
        </w:rPr>
        <w:t>4</w:t>
      </w:r>
      <w:r w:rsidR="000228F7">
        <w:rPr>
          <w:rFonts w:eastAsia="Times New Roman" w:cs="Arial"/>
          <w:sz w:val="24"/>
          <w:szCs w:val="24"/>
          <w:lang w:eastAsia="pl-PL"/>
        </w:rPr>
        <w:t>-</w:t>
      </w:r>
      <w:r w:rsidR="00377B90">
        <w:rPr>
          <w:rFonts w:eastAsia="Times New Roman" w:cs="Arial"/>
          <w:sz w:val="24"/>
          <w:szCs w:val="24"/>
          <w:lang w:eastAsia="pl-PL"/>
        </w:rPr>
        <w:t>17</w:t>
      </w:r>
      <w:r w:rsidR="000228F7">
        <w:rPr>
          <w:rFonts w:eastAsia="Times New Roman" w:cs="Arial"/>
          <w:sz w:val="24"/>
          <w:szCs w:val="24"/>
          <w:lang w:eastAsia="pl-PL"/>
        </w:rPr>
        <w:t xml:space="preserve"> osób.</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lastRenderedPageBreak/>
        <w:t>Usługa noclegowa</w:t>
      </w:r>
    </w:p>
    <w:p w14:paraId="7BA92416" w14:textId="3A1EA45F"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 xml:space="preserve">Usługa będzie polegała na zapewnieniu noclegów wraz ze śniadaniem w pokojach maksymalnie 2 osobowych dla </w:t>
      </w:r>
      <w:r w:rsidR="00204094">
        <w:rPr>
          <w:rFonts w:eastAsia="Times New Roman" w:cs="Arial"/>
          <w:sz w:val="24"/>
          <w:szCs w:val="24"/>
          <w:lang w:eastAsia="pl-PL"/>
        </w:rPr>
        <w:t xml:space="preserve">max. </w:t>
      </w:r>
      <w:r w:rsidR="005D5320">
        <w:rPr>
          <w:rFonts w:eastAsia="Times New Roman" w:cs="Arial"/>
          <w:sz w:val="24"/>
          <w:szCs w:val="24"/>
          <w:lang w:eastAsia="pl-PL"/>
        </w:rPr>
        <w:t>1</w:t>
      </w:r>
      <w:r w:rsidR="00E5648C">
        <w:rPr>
          <w:rFonts w:eastAsia="Times New Roman" w:cs="Arial"/>
          <w:sz w:val="24"/>
          <w:szCs w:val="24"/>
          <w:lang w:eastAsia="pl-PL"/>
        </w:rPr>
        <w:t>5</w:t>
      </w:r>
      <w:r w:rsidR="00204094">
        <w:rPr>
          <w:rFonts w:eastAsia="Times New Roman" w:cs="Arial"/>
          <w:sz w:val="24"/>
          <w:szCs w:val="24"/>
          <w:lang w:eastAsia="pl-PL"/>
        </w:rPr>
        <w:t xml:space="preserve"> </w:t>
      </w:r>
      <w:r w:rsidRPr="00CD5631">
        <w:rPr>
          <w:rFonts w:eastAsia="Times New Roman" w:cs="Arial"/>
          <w:sz w:val="24"/>
          <w:szCs w:val="24"/>
          <w:lang w:eastAsia="pl-PL"/>
        </w:rPr>
        <w:t xml:space="preserve">uczestników/-czek </w:t>
      </w:r>
      <w:r w:rsidR="00204094">
        <w:rPr>
          <w:rFonts w:eastAsia="Times New Roman" w:cs="Arial"/>
          <w:sz w:val="24"/>
          <w:szCs w:val="24"/>
          <w:lang w:eastAsia="pl-PL"/>
        </w:rPr>
        <w:t xml:space="preserve">i  2 trenerów/-ek (pokoje 1-osobowe) </w:t>
      </w:r>
      <w:r w:rsidRPr="00CD5631">
        <w:rPr>
          <w:rFonts w:eastAsia="Times New Roman" w:cs="Arial"/>
          <w:sz w:val="24"/>
          <w:szCs w:val="24"/>
          <w:lang w:eastAsia="pl-PL"/>
        </w:rPr>
        <w:t>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20AEF91B"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0228F7">
        <w:rPr>
          <w:rFonts w:eastAsia="Times New Roman" w:cs="Arial"/>
          <w:sz w:val="24"/>
          <w:szCs w:val="24"/>
          <w:lang w:eastAsia="pl-PL"/>
        </w:rPr>
        <w:t>1</w:t>
      </w:r>
      <w:r w:rsidR="00C452EE">
        <w:rPr>
          <w:rFonts w:eastAsia="Times New Roman" w:cs="Arial"/>
          <w:sz w:val="24"/>
          <w:szCs w:val="24"/>
          <w:lang w:eastAsia="pl-PL"/>
        </w:rPr>
        <w:t>2</w:t>
      </w:r>
      <w:r w:rsidR="00DF314D">
        <w:rPr>
          <w:rFonts w:eastAsia="Times New Roman" w:cs="Arial"/>
          <w:sz w:val="24"/>
          <w:szCs w:val="24"/>
          <w:lang w:eastAsia="pl-PL"/>
        </w:rPr>
        <w:t xml:space="preserve"> </w:t>
      </w:r>
      <w:r w:rsidR="00EF3493">
        <w:rPr>
          <w:rFonts w:eastAsia="Times New Roman" w:cs="Arial"/>
          <w:sz w:val="24"/>
          <w:szCs w:val="24"/>
          <w:lang w:eastAsia="pl-PL"/>
        </w:rPr>
        <w:t xml:space="preserve">– </w:t>
      </w:r>
      <w:r w:rsidR="0000145C">
        <w:rPr>
          <w:rFonts w:eastAsia="Times New Roman" w:cs="Arial"/>
          <w:sz w:val="24"/>
          <w:szCs w:val="24"/>
          <w:lang w:eastAsia="pl-PL"/>
        </w:rPr>
        <w:t>1</w:t>
      </w:r>
      <w:r w:rsidR="00E91E1B">
        <w:rPr>
          <w:rFonts w:eastAsia="Times New Roman" w:cs="Arial"/>
          <w:sz w:val="24"/>
          <w:szCs w:val="24"/>
          <w:lang w:eastAsia="pl-PL"/>
        </w:rPr>
        <w:t>5</w:t>
      </w:r>
      <w:r w:rsidR="003424E4">
        <w:rPr>
          <w:rFonts w:eastAsia="Times New Roman" w:cs="Arial"/>
          <w:sz w:val="24"/>
          <w:szCs w:val="24"/>
          <w:lang w:eastAsia="pl-PL"/>
        </w:rPr>
        <w:t xml:space="preserve"> </w:t>
      </w:r>
      <w:r w:rsidRPr="008D3D08">
        <w:rPr>
          <w:rFonts w:eastAsia="Times New Roman" w:cs="Arial"/>
          <w:sz w:val="24"/>
          <w:szCs w:val="24"/>
          <w:lang w:eastAsia="pl-PL"/>
        </w:rPr>
        <w:t>osób/szkolenie (1. noc po pierwszym dniu szkoleniowym). 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330C159C" w:rsidR="00DE624C" w:rsidRPr="004E615F" w:rsidRDefault="00B41378" w:rsidP="00D05AA1">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w:t>
      </w:r>
      <w:r w:rsidR="00D05AA1" w:rsidRPr="00D05AA1">
        <w:rPr>
          <w:rFonts w:eastAsia="Times New Roman" w:cs="Arial"/>
          <w:sz w:val="24"/>
          <w:szCs w:val="24"/>
          <w:lang w:eastAsia="pl-PL"/>
        </w:rPr>
        <w:t xml:space="preserve">PKP Warszawa Centralna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lastRenderedPageBreak/>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lastRenderedPageBreak/>
        <w:t>Miejsce realizacji zamówienia</w:t>
      </w:r>
      <w:r w:rsidRPr="004E615F">
        <w:rPr>
          <w:rStyle w:val="Odwoanieprzypisudolnego"/>
          <w:rFonts w:ascii="Arial" w:hAnsi="Arial" w:cs="Arial"/>
          <w:b/>
        </w:rPr>
        <w:footnoteReference w:id="6"/>
      </w:r>
    </w:p>
    <w:p w14:paraId="55F40471" w14:textId="77777777" w:rsidR="00135270" w:rsidRPr="00135270" w:rsidRDefault="00135270" w:rsidP="00135270">
      <w:pPr>
        <w:spacing w:before="240" w:line="360" w:lineRule="auto"/>
        <w:ind w:left="-284"/>
        <w:rPr>
          <w:rFonts w:cs="Arial"/>
          <w:sz w:val="24"/>
          <w:szCs w:val="24"/>
        </w:rPr>
      </w:pPr>
      <w:r w:rsidRPr="00135270">
        <w:rPr>
          <w:rFonts w:cs="Arial"/>
          <w:sz w:val="24"/>
          <w:szCs w:val="24"/>
        </w:rPr>
        <w:t>Województwo: Mazowieckie, powiat: Warszawa</w:t>
      </w:r>
    </w:p>
    <w:p w14:paraId="4BC42524" w14:textId="77777777" w:rsidR="00135270" w:rsidRDefault="00135270" w:rsidP="00135270">
      <w:pPr>
        <w:spacing w:before="240" w:line="360" w:lineRule="auto"/>
        <w:ind w:left="-284"/>
        <w:rPr>
          <w:rFonts w:cs="Arial"/>
          <w:b/>
          <w:sz w:val="24"/>
          <w:szCs w:val="24"/>
          <w:lang w:eastAsia="pl-PL"/>
        </w:rPr>
      </w:pPr>
      <w:r w:rsidRPr="00135270">
        <w:rPr>
          <w:rFonts w:cs="Arial"/>
          <w:sz w:val="24"/>
          <w:szCs w:val="24"/>
        </w:rPr>
        <w:t>Gmina: Warszawa</w:t>
      </w:r>
      <w:r w:rsidRPr="00135270">
        <w:rPr>
          <w:rFonts w:cs="Arial"/>
          <w:b/>
          <w:sz w:val="24"/>
          <w:szCs w:val="24"/>
          <w:lang w:eastAsia="pl-PL"/>
        </w:rPr>
        <w:t xml:space="preserve"> </w:t>
      </w:r>
    </w:p>
    <w:p w14:paraId="6F270924" w14:textId="6372F23E" w:rsidR="006271E5" w:rsidRPr="006229BE" w:rsidRDefault="006229BE" w:rsidP="00135270">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0FA62630"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150C3C">
        <w:rPr>
          <w:rFonts w:ascii="Arial" w:eastAsia="Times New Roman" w:hAnsi="Arial" w:cs="Arial"/>
          <w:color w:val="auto"/>
          <w:sz w:val="24"/>
          <w:szCs w:val="24"/>
          <w:lang w:eastAsia="pl-PL"/>
        </w:rPr>
        <w:t>1</w:t>
      </w:r>
      <w:r w:rsidR="001621CF">
        <w:rPr>
          <w:rFonts w:ascii="Arial" w:eastAsia="Times New Roman" w:hAnsi="Arial" w:cs="Arial"/>
          <w:color w:val="auto"/>
          <w:sz w:val="24"/>
          <w:szCs w:val="24"/>
          <w:lang w:eastAsia="pl-PL"/>
        </w:rPr>
        <w:t>6</w:t>
      </w:r>
      <w:r w:rsidR="00150C3C">
        <w:rPr>
          <w:rFonts w:ascii="Arial" w:eastAsia="Times New Roman" w:hAnsi="Arial" w:cs="Arial"/>
          <w:color w:val="auto"/>
          <w:sz w:val="24"/>
          <w:szCs w:val="24"/>
          <w:lang w:eastAsia="pl-PL"/>
        </w:rPr>
        <w:t>.11</w:t>
      </w:r>
      <w:r w:rsidR="00766795">
        <w:rPr>
          <w:rFonts w:ascii="Arial" w:eastAsia="Times New Roman" w:hAnsi="Arial" w:cs="Arial"/>
          <w:color w:val="auto"/>
          <w:sz w:val="24"/>
          <w:szCs w:val="24"/>
          <w:lang w:eastAsia="pl-PL"/>
        </w:rPr>
        <w:t>.</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5EECFEBA"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EF3493">
        <w:rPr>
          <w:rFonts w:ascii="Arial" w:eastAsia="Times New Roman" w:hAnsi="Arial" w:cs="Arial"/>
          <w:color w:val="auto"/>
          <w:sz w:val="24"/>
          <w:szCs w:val="24"/>
          <w:lang w:eastAsia="pl-PL"/>
        </w:rPr>
        <w:t>.</w:t>
      </w:r>
      <w:r w:rsidR="008145FE">
        <w:rPr>
          <w:rFonts w:ascii="Arial" w:eastAsia="Times New Roman" w:hAnsi="Arial" w:cs="Arial"/>
          <w:color w:val="auto"/>
          <w:sz w:val="24"/>
          <w:szCs w:val="24"/>
          <w:lang w:eastAsia="pl-PL"/>
        </w:rPr>
        <w:t>11.</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4F57CD9E"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8145FE" w:rsidRPr="008145FE">
        <w:rPr>
          <w:rFonts w:ascii="Arial" w:eastAsia="Times New Roman" w:hAnsi="Arial" w:cs="Arial"/>
          <w:color w:val="auto"/>
          <w:sz w:val="24"/>
          <w:szCs w:val="24"/>
          <w:lang w:eastAsia="pl-PL"/>
        </w:rPr>
        <w:t>23.11</w:t>
      </w:r>
      <w:r w:rsidR="00CB05C7" w:rsidRPr="008145FE">
        <w:rPr>
          <w:rFonts w:ascii="Arial" w:eastAsia="Times New Roman" w:hAnsi="Arial" w:cs="Arial"/>
          <w:color w:val="auto"/>
          <w:sz w:val="24"/>
          <w:szCs w:val="24"/>
          <w:lang w:eastAsia="pl-PL"/>
        </w:rPr>
        <w:t>.</w:t>
      </w:r>
      <w:r w:rsidR="00CB05C7" w:rsidRPr="00CB05C7">
        <w:rPr>
          <w:rFonts w:ascii="Arial" w:eastAsia="Times New Roman" w:hAnsi="Arial" w:cs="Arial"/>
          <w:color w:val="auto"/>
          <w:sz w:val="24"/>
          <w:szCs w:val="24"/>
          <w:lang w:eastAsia="pl-PL"/>
        </w:rPr>
        <w:t>2022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bookmarkStart w:id="0" w:name="_GoBack"/>
      <w:bookmarkEnd w:id="0"/>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lastRenderedPageBreak/>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lastRenderedPageBreak/>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lastRenderedPageBreak/>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lastRenderedPageBreak/>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t>
      </w:r>
      <w:r w:rsidRPr="004E615F">
        <w:rPr>
          <w:rFonts w:cs="Arial"/>
          <w:sz w:val="24"/>
          <w:szCs w:val="24"/>
        </w:rPr>
        <w:lastRenderedPageBreak/>
        <w:t xml:space="preserve">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28F8" w14:textId="77777777" w:rsidR="006F4DD1" w:rsidRDefault="006F4DD1" w:rsidP="0024450C">
      <w:pPr>
        <w:spacing w:after="0" w:line="240" w:lineRule="auto"/>
      </w:pPr>
      <w:r>
        <w:separator/>
      </w:r>
    </w:p>
  </w:endnote>
  <w:endnote w:type="continuationSeparator" w:id="0">
    <w:p w14:paraId="7A9E7059" w14:textId="77777777" w:rsidR="006F4DD1" w:rsidRDefault="006F4DD1"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C54E" w14:textId="77777777" w:rsidR="006F4DD1" w:rsidRDefault="006F4DD1" w:rsidP="0024450C">
      <w:pPr>
        <w:spacing w:after="0" w:line="240" w:lineRule="auto"/>
      </w:pPr>
      <w:r>
        <w:separator/>
      </w:r>
    </w:p>
  </w:footnote>
  <w:footnote w:type="continuationSeparator" w:id="0">
    <w:p w14:paraId="24D48971" w14:textId="77777777" w:rsidR="006F4DD1" w:rsidRDefault="006F4DD1"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145C"/>
    <w:rsid w:val="0000201C"/>
    <w:rsid w:val="00003534"/>
    <w:rsid w:val="00006FFC"/>
    <w:rsid w:val="00016417"/>
    <w:rsid w:val="00016766"/>
    <w:rsid w:val="00017CA4"/>
    <w:rsid w:val="00021A5A"/>
    <w:rsid w:val="000228F7"/>
    <w:rsid w:val="00030291"/>
    <w:rsid w:val="00030FC1"/>
    <w:rsid w:val="0003255D"/>
    <w:rsid w:val="00035160"/>
    <w:rsid w:val="00040321"/>
    <w:rsid w:val="0004203F"/>
    <w:rsid w:val="00043EFB"/>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A6FF6"/>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270"/>
    <w:rsid w:val="0013552D"/>
    <w:rsid w:val="0013657D"/>
    <w:rsid w:val="0014459B"/>
    <w:rsid w:val="001506BD"/>
    <w:rsid w:val="00150C3C"/>
    <w:rsid w:val="00160273"/>
    <w:rsid w:val="001612F0"/>
    <w:rsid w:val="00161E8B"/>
    <w:rsid w:val="001621CF"/>
    <w:rsid w:val="00163E3B"/>
    <w:rsid w:val="00171B85"/>
    <w:rsid w:val="00171C0B"/>
    <w:rsid w:val="00177080"/>
    <w:rsid w:val="00181053"/>
    <w:rsid w:val="001849EC"/>
    <w:rsid w:val="00186F94"/>
    <w:rsid w:val="00193E2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4094"/>
    <w:rsid w:val="00206235"/>
    <w:rsid w:val="00210667"/>
    <w:rsid w:val="002130BB"/>
    <w:rsid w:val="00213C9C"/>
    <w:rsid w:val="002145BC"/>
    <w:rsid w:val="00220F47"/>
    <w:rsid w:val="002220AF"/>
    <w:rsid w:val="00231238"/>
    <w:rsid w:val="00235636"/>
    <w:rsid w:val="0024162F"/>
    <w:rsid w:val="0024450C"/>
    <w:rsid w:val="00246BF8"/>
    <w:rsid w:val="00252762"/>
    <w:rsid w:val="002613E9"/>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1EE4"/>
    <w:rsid w:val="00372B1D"/>
    <w:rsid w:val="00377B90"/>
    <w:rsid w:val="00377BDF"/>
    <w:rsid w:val="0038039F"/>
    <w:rsid w:val="003868DB"/>
    <w:rsid w:val="00387A8A"/>
    <w:rsid w:val="003907CA"/>
    <w:rsid w:val="003918AF"/>
    <w:rsid w:val="00395A38"/>
    <w:rsid w:val="00396EA0"/>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75F"/>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5320"/>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0DC5"/>
    <w:rsid w:val="006D12A1"/>
    <w:rsid w:val="006D5375"/>
    <w:rsid w:val="006D597E"/>
    <w:rsid w:val="006D7615"/>
    <w:rsid w:val="006E01C0"/>
    <w:rsid w:val="006E6AED"/>
    <w:rsid w:val="006E742C"/>
    <w:rsid w:val="006F0127"/>
    <w:rsid w:val="006F0646"/>
    <w:rsid w:val="006F0CCE"/>
    <w:rsid w:val="006F4DD1"/>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0436"/>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45FE"/>
    <w:rsid w:val="0081637F"/>
    <w:rsid w:val="008242D5"/>
    <w:rsid w:val="00825559"/>
    <w:rsid w:val="00825EB9"/>
    <w:rsid w:val="0083179D"/>
    <w:rsid w:val="00831D8F"/>
    <w:rsid w:val="00835983"/>
    <w:rsid w:val="00840BDF"/>
    <w:rsid w:val="008421FE"/>
    <w:rsid w:val="0084295C"/>
    <w:rsid w:val="00842A79"/>
    <w:rsid w:val="008465B8"/>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5FA2"/>
    <w:rsid w:val="00AB7508"/>
    <w:rsid w:val="00AC1912"/>
    <w:rsid w:val="00AC1FDB"/>
    <w:rsid w:val="00AC390B"/>
    <w:rsid w:val="00AC4749"/>
    <w:rsid w:val="00AD1405"/>
    <w:rsid w:val="00AD3D47"/>
    <w:rsid w:val="00AD40B5"/>
    <w:rsid w:val="00AD6090"/>
    <w:rsid w:val="00AD78B3"/>
    <w:rsid w:val="00AE74D4"/>
    <w:rsid w:val="00AE7D67"/>
    <w:rsid w:val="00AE7D9A"/>
    <w:rsid w:val="00AF5261"/>
    <w:rsid w:val="00AF5945"/>
    <w:rsid w:val="00AF5F14"/>
    <w:rsid w:val="00B00F5F"/>
    <w:rsid w:val="00B0169D"/>
    <w:rsid w:val="00B02DD9"/>
    <w:rsid w:val="00B02FC8"/>
    <w:rsid w:val="00B057B9"/>
    <w:rsid w:val="00B059D2"/>
    <w:rsid w:val="00B156BC"/>
    <w:rsid w:val="00B2472E"/>
    <w:rsid w:val="00B27846"/>
    <w:rsid w:val="00B279F1"/>
    <w:rsid w:val="00B27E3F"/>
    <w:rsid w:val="00B36351"/>
    <w:rsid w:val="00B36C1F"/>
    <w:rsid w:val="00B41378"/>
    <w:rsid w:val="00B51DE9"/>
    <w:rsid w:val="00B5661B"/>
    <w:rsid w:val="00B57628"/>
    <w:rsid w:val="00B6083C"/>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AFA"/>
    <w:rsid w:val="00C40C8A"/>
    <w:rsid w:val="00C40DEA"/>
    <w:rsid w:val="00C430F0"/>
    <w:rsid w:val="00C452EE"/>
    <w:rsid w:val="00C45E96"/>
    <w:rsid w:val="00C45F51"/>
    <w:rsid w:val="00C468EA"/>
    <w:rsid w:val="00C50189"/>
    <w:rsid w:val="00C510CF"/>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B1B5B"/>
    <w:rsid w:val="00CC00E0"/>
    <w:rsid w:val="00CC2D31"/>
    <w:rsid w:val="00CC416F"/>
    <w:rsid w:val="00CC46BC"/>
    <w:rsid w:val="00CC74CA"/>
    <w:rsid w:val="00CD1846"/>
    <w:rsid w:val="00CD2B52"/>
    <w:rsid w:val="00CD3F84"/>
    <w:rsid w:val="00CD5631"/>
    <w:rsid w:val="00CE10B6"/>
    <w:rsid w:val="00CE13CA"/>
    <w:rsid w:val="00CE3B54"/>
    <w:rsid w:val="00CE4390"/>
    <w:rsid w:val="00CE67ED"/>
    <w:rsid w:val="00CE6F84"/>
    <w:rsid w:val="00CE7954"/>
    <w:rsid w:val="00CE7E63"/>
    <w:rsid w:val="00CF0664"/>
    <w:rsid w:val="00CF2A2C"/>
    <w:rsid w:val="00D02FB4"/>
    <w:rsid w:val="00D050AE"/>
    <w:rsid w:val="00D05AA1"/>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48C"/>
    <w:rsid w:val="00E56CC4"/>
    <w:rsid w:val="00E579F6"/>
    <w:rsid w:val="00E65E9E"/>
    <w:rsid w:val="00E6602A"/>
    <w:rsid w:val="00E67650"/>
    <w:rsid w:val="00E677FB"/>
    <w:rsid w:val="00E710CD"/>
    <w:rsid w:val="00E8167B"/>
    <w:rsid w:val="00E87422"/>
    <w:rsid w:val="00E875AD"/>
    <w:rsid w:val="00E91203"/>
    <w:rsid w:val="00E91E1B"/>
    <w:rsid w:val="00E965A7"/>
    <w:rsid w:val="00EA7D1A"/>
    <w:rsid w:val="00EB0694"/>
    <w:rsid w:val="00EB1054"/>
    <w:rsid w:val="00EB2B3D"/>
    <w:rsid w:val="00EB439C"/>
    <w:rsid w:val="00EB7984"/>
    <w:rsid w:val="00EB7DB3"/>
    <w:rsid w:val="00EC1451"/>
    <w:rsid w:val="00EC210E"/>
    <w:rsid w:val="00EC386F"/>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0982"/>
    <w:rsid w:val="00F812B9"/>
    <w:rsid w:val="00F865D1"/>
    <w:rsid w:val="00F916C2"/>
    <w:rsid w:val="00F91B82"/>
    <w:rsid w:val="00F922E1"/>
    <w:rsid w:val="00F92CDF"/>
    <w:rsid w:val="00FA018E"/>
    <w:rsid w:val="00FA3B03"/>
    <w:rsid w:val="00FA3BFB"/>
    <w:rsid w:val="00FA4499"/>
    <w:rsid w:val="00FA70DF"/>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40DE6-5132-4D27-8802-6FC0A2B3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3191</Words>
  <Characters>19146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24</cp:revision>
  <cp:lastPrinted>2020-08-11T06:45:00Z</cp:lastPrinted>
  <dcterms:created xsi:type="dcterms:W3CDTF">2022-11-15T12:11:00Z</dcterms:created>
  <dcterms:modified xsi:type="dcterms:W3CDTF">2022-11-16T11:12:00Z</dcterms:modified>
</cp:coreProperties>
</file>