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FF5F" w14:textId="77777777" w:rsidR="009C15F8" w:rsidRPr="00467BD3" w:rsidRDefault="00E06656">
      <w:pPr>
        <w:pStyle w:val="Tekstpodstawowy"/>
        <w:spacing w:before="7"/>
        <w:rPr>
          <w:sz w:val="2"/>
        </w:rPr>
      </w:pPr>
      <w:r w:rsidRPr="00467BD3">
        <w:rPr>
          <w:noProof/>
          <w:lang w:eastAsia="pl-PL"/>
        </w:rPr>
        <mc:AlternateContent>
          <mc:Choice Requires="wps">
            <w:drawing>
              <wp:anchor distT="0" distB="0" distL="0" distR="0" simplePos="0" relativeHeight="486749696" behindDoc="1" locked="0" layoutInCell="1" allowOverlap="1" wp14:anchorId="69859A9F" wp14:editId="4589A43F">
                <wp:simplePos x="0" y="0"/>
                <wp:positionH relativeFrom="page">
                  <wp:posOffset>4502369</wp:posOffset>
                </wp:positionH>
                <wp:positionV relativeFrom="page">
                  <wp:posOffset>2529277</wp:posOffset>
                </wp:positionV>
                <wp:extent cx="97155" cy="1549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 cy="154940"/>
                        </a:xfrm>
                        <a:prstGeom prst="rect">
                          <a:avLst/>
                        </a:prstGeom>
                      </wps:spPr>
                      <wps:txbx>
                        <w:txbxContent>
                          <w:p w14:paraId="66353B8F" w14:textId="77777777" w:rsidR="00C14D56" w:rsidRDefault="00C14D56">
                            <w:pPr>
                              <w:pStyle w:val="Tekstpodstawowy"/>
                              <w:spacing w:line="244" w:lineRule="exact"/>
                            </w:pPr>
                            <w:r>
                              <w:rPr>
                                <w:spacing w:val="-5"/>
                              </w:rPr>
                              <w:t>a,</w:t>
                            </w:r>
                          </w:p>
                        </w:txbxContent>
                      </wps:txbx>
                      <wps:bodyPr wrap="square" lIns="0" tIns="0" rIns="0" bIns="0" rtlCol="0">
                        <a:noAutofit/>
                      </wps:bodyPr>
                    </wps:wsp>
                  </a:graphicData>
                </a:graphic>
              </wp:anchor>
            </w:drawing>
          </mc:Choice>
          <mc:Fallback>
            <w:pict>
              <v:shapetype w14:anchorId="69859A9F" id="_x0000_t202" coordsize="21600,21600" o:spt="202" path="m,l,21600r21600,l21600,xe">
                <v:stroke joinstyle="miter"/>
                <v:path gradientshapeok="t" o:connecttype="rect"/>
              </v:shapetype>
              <v:shape id="Textbox 1" o:spid="_x0000_s1026" type="#_x0000_t202" style="position:absolute;margin-left:354.5pt;margin-top:199.15pt;width:7.65pt;height:12.2pt;z-index:-1656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" filled="f" stroked="f">
                <v:textbox inset="0,0,0,0">
                  <w:txbxContent>
                    <w:p w14:paraId="66353B8F" w14:textId="77777777" w:rsidR="00C14D56" w:rsidRDefault="00C14D56">
                      <w:pPr>
                        <w:pStyle w:val="Tekstpodstawowy"/>
                        <w:spacing w:line="244" w:lineRule="exact"/>
                      </w:pPr>
                      <w:r>
                        <w:rPr>
                          <w:spacing w:val="-5"/>
                        </w:rPr>
                        <w:t>a,</w:t>
                      </w:r>
                    </w:p>
                  </w:txbxContent>
                </v:textbox>
                <w10:wrap anchorx="page" anchory="page"/>
              </v:shape>
            </w:pict>
          </mc:Fallback>
        </mc:AlternateConten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2292"/>
        <w:gridCol w:w="1804"/>
        <w:gridCol w:w="1192"/>
        <w:gridCol w:w="3097"/>
      </w:tblGrid>
      <w:tr w:rsidR="009C15F8" w:rsidRPr="00467BD3" w14:paraId="4C0AE5D1" w14:textId="77777777">
        <w:trPr>
          <w:trHeight w:val="2208"/>
        </w:trPr>
        <w:tc>
          <w:tcPr>
            <w:tcW w:w="6768" w:type="dxa"/>
            <w:gridSpan w:val="3"/>
            <w:tcBorders>
              <w:bottom w:val="nil"/>
            </w:tcBorders>
          </w:tcPr>
          <w:p w14:paraId="2178ADF7" w14:textId="629A9B52" w:rsidR="009C15F8" w:rsidRPr="00467BD3" w:rsidRDefault="00E06656">
            <w:pPr>
              <w:pStyle w:val="TableParagraph"/>
              <w:ind w:left="63"/>
              <w:rPr>
                <w:b/>
                <w:spacing w:val="-2"/>
              </w:rPr>
            </w:pPr>
            <w:r w:rsidRPr="00467BD3">
              <w:rPr>
                <w:b/>
              </w:rPr>
              <w:t>Tytuł</w:t>
            </w:r>
            <w:r w:rsidRPr="00467BD3">
              <w:rPr>
                <w:b/>
                <w:spacing w:val="-3"/>
              </w:rPr>
              <w:t xml:space="preserve"> </w:t>
            </w:r>
            <w:r w:rsidRPr="00467BD3">
              <w:rPr>
                <w:b/>
              </w:rPr>
              <w:t>ocenianej</w:t>
            </w:r>
            <w:r w:rsidRPr="00467BD3">
              <w:rPr>
                <w:b/>
                <w:spacing w:val="-2"/>
              </w:rPr>
              <w:t xml:space="preserve"> ustawy</w:t>
            </w:r>
          </w:p>
          <w:p w14:paraId="604571C4" w14:textId="77777777" w:rsidR="00D72B2A" w:rsidRPr="00467BD3" w:rsidRDefault="00D72B2A">
            <w:pPr>
              <w:pStyle w:val="TableParagraph"/>
              <w:ind w:left="63"/>
              <w:rPr>
                <w:b/>
              </w:rPr>
            </w:pPr>
          </w:p>
          <w:p w14:paraId="2DB69707" w14:textId="5B9C7ECD" w:rsidR="009C15F8" w:rsidRPr="00467BD3" w:rsidRDefault="00E06656">
            <w:pPr>
              <w:pStyle w:val="TableParagraph"/>
              <w:ind w:hanging="45"/>
            </w:pPr>
            <w:r w:rsidRPr="00467BD3">
              <w:t>Ustawa</w:t>
            </w:r>
            <w:r w:rsidRPr="00467BD3">
              <w:rPr>
                <w:spacing w:val="-5"/>
              </w:rPr>
              <w:t xml:space="preserve"> </w:t>
            </w:r>
            <w:r w:rsidRPr="00467BD3">
              <w:t>z</w:t>
            </w:r>
            <w:r w:rsidRPr="00467BD3">
              <w:rPr>
                <w:spacing w:val="-5"/>
              </w:rPr>
              <w:t xml:space="preserve"> </w:t>
            </w:r>
            <w:r w:rsidRPr="00467BD3">
              <w:t>dnia</w:t>
            </w:r>
            <w:r w:rsidRPr="00467BD3">
              <w:rPr>
                <w:spacing w:val="-5"/>
              </w:rPr>
              <w:t xml:space="preserve"> </w:t>
            </w:r>
            <w:r w:rsidR="00BE3758" w:rsidRPr="00467BD3">
              <w:t xml:space="preserve">19 lipca 2019 roku o zapewnianiu dostępności osobom ze szczególnymi potrzebami </w:t>
            </w:r>
            <w:hyperlink r:id="rId8">
              <w:r w:rsidRPr="00467BD3">
                <w:t>(</w:t>
              </w:r>
              <w:r w:rsidR="00BE3758" w:rsidRPr="00467BD3">
                <w:t>Dz. U. 2019 poz. 1696</w:t>
              </w:r>
              <w:r w:rsidRPr="00467BD3">
                <w:t>)</w:t>
              </w:r>
            </w:hyperlink>
          </w:p>
          <w:p w14:paraId="50CCA728" w14:textId="77777777" w:rsidR="009C15F8" w:rsidRPr="00467BD3" w:rsidRDefault="00E06656">
            <w:pPr>
              <w:pStyle w:val="TableParagraph"/>
              <w:spacing w:before="120"/>
              <w:ind w:left="63"/>
              <w:rPr>
                <w:b/>
              </w:rPr>
            </w:pPr>
            <w:r w:rsidRPr="00467BD3">
              <w:rPr>
                <w:b/>
              </w:rPr>
              <w:t>Ministerstwo</w:t>
            </w:r>
            <w:r w:rsidRPr="00467BD3">
              <w:rPr>
                <w:b/>
                <w:spacing w:val="-2"/>
              </w:rPr>
              <w:t xml:space="preserve"> </w:t>
            </w:r>
            <w:r w:rsidRPr="00467BD3">
              <w:rPr>
                <w:b/>
              </w:rPr>
              <w:t>wiodące</w:t>
            </w:r>
            <w:r w:rsidRPr="00467BD3">
              <w:rPr>
                <w:b/>
                <w:spacing w:val="-2"/>
              </w:rPr>
              <w:t xml:space="preserve"> </w:t>
            </w:r>
            <w:r w:rsidRPr="00467BD3">
              <w:rPr>
                <w:b/>
              </w:rPr>
              <w:t>i</w:t>
            </w:r>
            <w:r w:rsidRPr="00467BD3">
              <w:rPr>
                <w:b/>
                <w:spacing w:val="-1"/>
              </w:rPr>
              <w:t xml:space="preserve"> </w:t>
            </w:r>
            <w:r w:rsidRPr="00467BD3">
              <w:rPr>
                <w:b/>
              </w:rPr>
              <w:t>ministerstwa</w:t>
            </w:r>
            <w:r w:rsidRPr="00467BD3">
              <w:rPr>
                <w:b/>
                <w:spacing w:val="-1"/>
              </w:rPr>
              <w:t xml:space="preserve"> </w:t>
            </w:r>
            <w:r w:rsidRPr="00467BD3">
              <w:rPr>
                <w:b/>
                <w:spacing w:val="-2"/>
              </w:rPr>
              <w:t>współpracujące</w:t>
            </w:r>
          </w:p>
          <w:p w14:paraId="56358B89" w14:textId="53C2C806" w:rsidR="009C15F8" w:rsidRPr="00467BD3" w:rsidRDefault="00BE3758">
            <w:pPr>
              <w:pStyle w:val="TableParagraph"/>
              <w:ind w:left="74"/>
            </w:pPr>
            <w:r w:rsidRPr="00467BD3">
              <w:t>Ministerstwo Funduszy i Polityki Regionalnej</w:t>
            </w:r>
          </w:p>
        </w:tc>
        <w:tc>
          <w:tcPr>
            <w:tcW w:w="4289" w:type="dxa"/>
            <w:gridSpan w:val="2"/>
            <w:tcBorders>
              <w:bottom w:val="nil"/>
            </w:tcBorders>
          </w:tcPr>
          <w:p w14:paraId="5F36F716" w14:textId="266B95E4" w:rsidR="009C15F8" w:rsidRPr="00467BD3" w:rsidRDefault="00E06656">
            <w:pPr>
              <w:pStyle w:val="TableParagraph"/>
              <w:ind w:left="107"/>
              <w:rPr>
                <w:b/>
              </w:rPr>
            </w:pPr>
            <w:r w:rsidRPr="00467BD3">
              <w:rPr>
                <w:b/>
              </w:rPr>
              <w:t xml:space="preserve">Data </w:t>
            </w:r>
            <w:r w:rsidRPr="00467BD3">
              <w:rPr>
                <w:b/>
                <w:spacing w:val="-2"/>
              </w:rPr>
              <w:t>sporządzenia</w:t>
            </w:r>
          </w:p>
          <w:p w14:paraId="5AB1EB8B" w14:textId="16C96191" w:rsidR="009C15F8" w:rsidRPr="00467BD3" w:rsidRDefault="00421E33">
            <w:pPr>
              <w:pStyle w:val="TableParagraph"/>
              <w:ind w:left="107"/>
            </w:pPr>
            <w:r w:rsidRPr="00467BD3">
              <w:rPr>
                <w:spacing w:val="-2"/>
              </w:rPr>
              <w:t>2 stycznia 2026 roku</w:t>
            </w:r>
          </w:p>
          <w:p w14:paraId="76A62A8E" w14:textId="79DF6D98" w:rsidR="009C15F8" w:rsidRPr="00467BD3" w:rsidRDefault="008A266A">
            <w:pPr>
              <w:pStyle w:val="TableParagraph"/>
              <w:spacing w:before="120"/>
              <w:ind w:left="107"/>
              <w:rPr>
                <w:b/>
              </w:rPr>
            </w:pPr>
            <w:r w:rsidRPr="00467BD3">
              <w:rPr>
                <w:noProof/>
                <w:lang w:eastAsia="pl-PL"/>
              </w:rPr>
              <mc:AlternateContent>
                <mc:Choice Requires="wpg">
                  <w:drawing>
                    <wp:anchor distT="0" distB="0" distL="0" distR="0" simplePos="0" relativeHeight="486750208" behindDoc="1" locked="0" layoutInCell="1" allowOverlap="1" wp14:anchorId="4C6EE099" wp14:editId="0D67C9B2">
                      <wp:simplePos x="0" y="0"/>
                      <wp:positionH relativeFrom="column">
                        <wp:posOffset>3175</wp:posOffset>
                      </wp:positionH>
                      <wp:positionV relativeFrom="paragraph">
                        <wp:posOffset>170571</wp:posOffset>
                      </wp:positionV>
                      <wp:extent cx="2717165" cy="2875280"/>
                      <wp:effectExtent l="0" t="0" r="6985"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165" cy="2875280"/>
                                <a:chOff x="0" y="0"/>
                                <a:chExt cx="2717165" cy="2875280"/>
                              </a:xfrm>
                            </wpg:grpSpPr>
                            <wps:wsp>
                              <wps:cNvPr id="3" name="Graphic 3"/>
                              <wps:cNvSpPr/>
                              <wps:spPr>
                                <a:xfrm>
                                  <a:off x="0" y="0"/>
                                  <a:ext cx="2717165" cy="2875280"/>
                                </a:xfrm>
                                <a:custGeom>
                                  <a:avLst/>
                                  <a:gdLst/>
                                  <a:ahLst/>
                                  <a:cxnLst/>
                                  <a:rect l="l" t="t" r="r" b="b"/>
                                  <a:pathLst>
                                    <a:path w="2717165" h="2875280">
                                      <a:moveTo>
                                        <a:pt x="2717164" y="2875076"/>
                                      </a:moveTo>
                                      <a:lnTo>
                                        <a:pt x="0" y="2875076"/>
                                      </a:lnTo>
                                      <a:lnTo>
                                        <a:pt x="0" y="0"/>
                                      </a:lnTo>
                                      <a:lnTo>
                                        <a:pt x="2717164" y="0"/>
                                      </a:lnTo>
                                      <a:lnTo>
                                        <a:pt x="2717164" y="287507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1887CA9" id="Group 2" o:spid="_x0000_s1026" style="position:absolute;margin-left:.25pt;margin-top:13.45pt;width:213.95pt;height:226.4pt;z-index:-16566272;mso-wrap-distance-left:0;mso-wrap-distance-right:0" coordsize="27171,2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">
                      <v:shape id="Graphic 3" o:spid="_x0000_s1027" style="position:absolute;width:27171;height:28752;visibility:visible;mso-wrap-style:square;v-text-anchor:top" coordsize="2717165,287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" path="m2717164,2875076l,2875076,,,2717164,r,2875076xe" stroked="f">
                        <v:path arrowok="t"/>
                      </v:shape>
                    </v:group>
                  </w:pict>
                </mc:Fallback>
              </mc:AlternateContent>
            </w:r>
            <w:r w:rsidR="00E06656" w:rsidRPr="00467BD3">
              <w:rPr>
                <w:b/>
              </w:rPr>
              <w:t>Data</w:t>
            </w:r>
            <w:r w:rsidR="00E06656" w:rsidRPr="00467BD3">
              <w:rPr>
                <w:b/>
                <w:spacing w:val="-1"/>
              </w:rPr>
              <w:t xml:space="preserve"> </w:t>
            </w:r>
            <w:r w:rsidR="00E06656" w:rsidRPr="00467BD3">
              <w:rPr>
                <w:b/>
              </w:rPr>
              <w:t>wejścia</w:t>
            </w:r>
            <w:r w:rsidR="00E06656" w:rsidRPr="00467BD3">
              <w:rPr>
                <w:b/>
                <w:spacing w:val="-1"/>
              </w:rPr>
              <w:t xml:space="preserve"> </w:t>
            </w:r>
            <w:r w:rsidR="00E06656" w:rsidRPr="00467BD3">
              <w:rPr>
                <w:b/>
              </w:rPr>
              <w:t>w</w:t>
            </w:r>
            <w:r w:rsidR="00E06656" w:rsidRPr="00467BD3">
              <w:rPr>
                <w:b/>
                <w:spacing w:val="-1"/>
              </w:rPr>
              <w:t xml:space="preserve"> </w:t>
            </w:r>
            <w:r w:rsidR="00E06656" w:rsidRPr="00467BD3">
              <w:rPr>
                <w:b/>
              </w:rPr>
              <w:t>życie</w:t>
            </w:r>
            <w:r w:rsidR="00E06656" w:rsidRPr="00467BD3">
              <w:rPr>
                <w:b/>
                <w:spacing w:val="-1"/>
              </w:rPr>
              <w:t xml:space="preserve"> </w:t>
            </w:r>
            <w:r w:rsidR="00E06656" w:rsidRPr="00467BD3">
              <w:rPr>
                <w:b/>
              </w:rPr>
              <w:t xml:space="preserve">ocenianej </w:t>
            </w:r>
            <w:r w:rsidR="00E06656" w:rsidRPr="00467BD3">
              <w:rPr>
                <w:b/>
                <w:spacing w:val="-2"/>
              </w:rPr>
              <w:t>ustawy</w:t>
            </w:r>
          </w:p>
          <w:p w14:paraId="5FBB7B7A" w14:textId="19DC731E" w:rsidR="009C15F8" w:rsidRPr="00467BD3" w:rsidRDefault="00BE3758">
            <w:pPr>
              <w:pStyle w:val="TableParagraph"/>
              <w:ind w:left="107"/>
            </w:pPr>
            <w:r w:rsidRPr="00467BD3">
              <w:rPr>
                <w:spacing w:val="-2"/>
              </w:rPr>
              <w:t>19</w:t>
            </w:r>
            <w:r w:rsidR="00E06656" w:rsidRPr="00467BD3">
              <w:rPr>
                <w:spacing w:val="-2"/>
              </w:rPr>
              <w:t>.0</w:t>
            </w:r>
            <w:r w:rsidRPr="00467BD3">
              <w:rPr>
                <w:spacing w:val="-2"/>
              </w:rPr>
              <w:t>7</w:t>
            </w:r>
            <w:r w:rsidR="00E06656" w:rsidRPr="00467BD3">
              <w:rPr>
                <w:spacing w:val="-2"/>
              </w:rPr>
              <w:t>.2019</w:t>
            </w:r>
          </w:p>
          <w:p w14:paraId="367CD4C2" w14:textId="77777777" w:rsidR="009C15F8" w:rsidRPr="00467BD3" w:rsidRDefault="00E06656">
            <w:pPr>
              <w:pStyle w:val="TableParagraph"/>
              <w:spacing w:before="120"/>
              <w:ind w:left="107"/>
              <w:rPr>
                <w:b/>
                <w:sz w:val="21"/>
              </w:rPr>
            </w:pPr>
            <w:r w:rsidRPr="00467BD3">
              <w:rPr>
                <w:b/>
              </w:rPr>
              <w:t>Przygotowana z</w:t>
            </w:r>
            <w:r w:rsidRPr="00467BD3">
              <w:rPr>
                <w:b/>
                <w:spacing w:val="-1"/>
              </w:rPr>
              <w:t xml:space="preserve"> </w:t>
            </w:r>
            <w:r w:rsidRPr="00467BD3">
              <w:rPr>
                <w:b/>
                <w:spacing w:val="-2"/>
              </w:rPr>
              <w:t>powodu</w:t>
            </w:r>
            <w:r w:rsidRPr="00467BD3">
              <w:rPr>
                <w:b/>
                <w:spacing w:val="-2"/>
                <w:sz w:val="21"/>
              </w:rPr>
              <w:t>:</w:t>
            </w:r>
          </w:p>
          <w:p w14:paraId="6DFADD5B" w14:textId="144093F9" w:rsidR="009C15F8" w:rsidRPr="00467BD3" w:rsidRDefault="00E06656">
            <w:pPr>
              <w:pStyle w:val="TableParagraph"/>
              <w:ind w:left="107"/>
            </w:pPr>
            <w:r w:rsidRPr="00467BD3">
              <w:t>Ewaluacja</w:t>
            </w:r>
            <w:r w:rsidRPr="00467BD3">
              <w:rPr>
                <w:spacing w:val="-9"/>
              </w:rPr>
              <w:t xml:space="preserve"> </w:t>
            </w:r>
            <w:r w:rsidR="00D72B2A" w:rsidRPr="00467BD3">
              <w:rPr>
                <w:spacing w:val="-9"/>
              </w:rPr>
              <w:t xml:space="preserve">ex pst </w:t>
            </w:r>
            <w:r w:rsidRPr="00467BD3">
              <w:rPr>
                <w:spacing w:val="-5"/>
              </w:rPr>
              <w:t>OSR</w:t>
            </w:r>
          </w:p>
        </w:tc>
      </w:tr>
      <w:tr w:rsidR="009C15F8" w:rsidRPr="00467BD3" w14:paraId="55721CDD" w14:textId="77777777">
        <w:trPr>
          <w:trHeight w:val="878"/>
        </w:trPr>
        <w:tc>
          <w:tcPr>
            <w:tcW w:w="6768" w:type="dxa"/>
            <w:gridSpan w:val="3"/>
            <w:tcBorders>
              <w:top w:val="nil"/>
              <w:bottom w:val="nil"/>
            </w:tcBorders>
          </w:tcPr>
          <w:p w14:paraId="591F6335" w14:textId="0C7968FD" w:rsidR="009C15F8" w:rsidRPr="00467BD3" w:rsidRDefault="00E06656">
            <w:pPr>
              <w:pStyle w:val="TableParagraph"/>
              <w:spacing w:before="55"/>
              <w:ind w:right="100"/>
              <w:rPr>
                <w:b/>
              </w:rPr>
            </w:pPr>
            <w:r w:rsidRPr="00467BD3">
              <w:rPr>
                <w:b/>
              </w:rPr>
              <w:t>Osoba</w:t>
            </w:r>
            <w:r w:rsidRPr="00467BD3">
              <w:rPr>
                <w:b/>
                <w:spacing w:val="-6"/>
              </w:rPr>
              <w:t xml:space="preserve"> </w:t>
            </w:r>
            <w:r w:rsidRPr="00467BD3">
              <w:rPr>
                <w:b/>
              </w:rPr>
              <w:t>odpowiedzialna</w:t>
            </w:r>
            <w:r w:rsidRPr="00467BD3">
              <w:rPr>
                <w:b/>
                <w:spacing w:val="-6"/>
              </w:rPr>
              <w:t xml:space="preserve"> </w:t>
            </w:r>
            <w:r w:rsidRPr="00467BD3">
              <w:rPr>
                <w:b/>
              </w:rPr>
              <w:t>za</w:t>
            </w:r>
            <w:r w:rsidRPr="00467BD3">
              <w:rPr>
                <w:b/>
                <w:spacing w:val="-6"/>
              </w:rPr>
              <w:t xml:space="preserve"> </w:t>
            </w:r>
            <w:r w:rsidRPr="00467BD3">
              <w:rPr>
                <w:b/>
              </w:rPr>
              <w:t>projekt</w:t>
            </w:r>
            <w:r w:rsidRPr="00467BD3">
              <w:rPr>
                <w:b/>
                <w:spacing w:val="-6"/>
              </w:rPr>
              <w:t xml:space="preserve"> </w:t>
            </w:r>
            <w:r w:rsidRPr="00467BD3">
              <w:rPr>
                <w:b/>
              </w:rPr>
              <w:t>w</w:t>
            </w:r>
            <w:r w:rsidRPr="00467BD3">
              <w:rPr>
                <w:b/>
                <w:spacing w:val="-7"/>
              </w:rPr>
              <w:t xml:space="preserve"> </w:t>
            </w:r>
            <w:r w:rsidRPr="00467BD3">
              <w:rPr>
                <w:b/>
              </w:rPr>
              <w:t>randze</w:t>
            </w:r>
            <w:r w:rsidRPr="00467BD3">
              <w:rPr>
                <w:b/>
                <w:spacing w:val="-7"/>
              </w:rPr>
              <w:t xml:space="preserve"> </w:t>
            </w:r>
            <w:r w:rsidRPr="00467BD3">
              <w:rPr>
                <w:b/>
              </w:rPr>
              <w:t>Ministra,</w:t>
            </w:r>
            <w:r w:rsidRPr="00467BD3">
              <w:rPr>
                <w:b/>
                <w:spacing w:val="-5"/>
              </w:rPr>
              <w:t xml:space="preserve"> </w:t>
            </w:r>
            <w:r w:rsidRPr="00467BD3">
              <w:rPr>
                <w:b/>
              </w:rPr>
              <w:t>Sekretarza Stanu lub Podsekretarza Stanu</w:t>
            </w:r>
          </w:p>
          <w:p w14:paraId="28BD67DC" w14:textId="77777777" w:rsidR="00D72B2A" w:rsidRPr="00467BD3" w:rsidRDefault="00D72B2A">
            <w:pPr>
              <w:pStyle w:val="TableParagraph"/>
              <w:spacing w:before="55"/>
              <w:ind w:right="100"/>
              <w:rPr>
                <w:b/>
              </w:rPr>
            </w:pPr>
          </w:p>
          <w:p w14:paraId="242DD1C1" w14:textId="3A694D1C" w:rsidR="009C15F8" w:rsidRPr="00467BD3" w:rsidRDefault="00BE3758">
            <w:pPr>
              <w:pStyle w:val="TableParagraph"/>
            </w:pPr>
            <w:r w:rsidRPr="00467BD3">
              <w:t>Monika Sikora</w:t>
            </w:r>
            <w:r w:rsidR="00E06656" w:rsidRPr="00467BD3">
              <w:t>,</w:t>
            </w:r>
            <w:r w:rsidRPr="00467BD3">
              <w:t xml:space="preserve"> Podsekretarz Stanu w</w:t>
            </w:r>
            <w:r w:rsidR="00E06656" w:rsidRPr="00467BD3">
              <w:t xml:space="preserve"> Minister</w:t>
            </w:r>
            <w:r w:rsidRPr="00467BD3">
              <w:t xml:space="preserve">stwie Funduszy i Polityki Regionalnej </w:t>
            </w:r>
          </w:p>
        </w:tc>
        <w:tc>
          <w:tcPr>
            <w:tcW w:w="4289" w:type="dxa"/>
            <w:gridSpan w:val="2"/>
            <w:tcBorders>
              <w:top w:val="nil"/>
              <w:bottom w:val="nil"/>
            </w:tcBorders>
          </w:tcPr>
          <w:p w14:paraId="0CD4A95D" w14:textId="77777777" w:rsidR="009C15F8" w:rsidRPr="00467BD3" w:rsidRDefault="009C15F8">
            <w:pPr>
              <w:pStyle w:val="TableParagraph"/>
              <w:ind w:left="0"/>
            </w:pPr>
          </w:p>
        </w:tc>
      </w:tr>
      <w:tr w:rsidR="009C15F8" w:rsidRPr="00467BD3" w14:paraId="54675CDF" w14:textId="77777777">
        <w:trPr>
          <w:trHeight w:val="878"/>
        </w:trPr>
        <w:tc>
          <w:tcPr>
            <w:tcW w:w="6768" w:type="dxa"/>
            <w:gridSpan w:val="3"/>
            <w:tcBorders>
              <w:top w:val="nil"/>
              <w:bottom w:val="nil"/>
            </w:tcBorders>
          </w:tcPr>
          <w:p w14:paraId="15CA4073" w14:textId="77777777" w:rsidR="009C15F8" w:rsidRPr="00467BD3" w:rsidRDefault="00E06656">
            <w:pPr>
              <w:pStyle w:val="TableParagraph"/>
              <w:spacing w:before="55"/>
              <w:ind w:left="63"/>
              <w:rPr>
                <w:b/>
              </w:rPr>
            </w:pPr>
            <w:r w:rsidRPr="00467BD3">
              <w:rPr>
                <w:b/>
              </w:rPr>
              <w:t xml:space="preserve">Kontakt do opiekuna merytorycznego </w:t>
            </w:r>
            <w:r w:rsidRPr="00467BD3">
              <w:rPr>
                <w:b/>
                <w:spacing w:val="-2"/>
              </w:rPr>
              <w:t>projektu</w:t>
            </w:r>
          </w:p>
          <w:p w14:paraId="0C2C33E8" w14:textId="0606B71D" w:rsidR="009C15F8" w:rsidRPr="00467BD3" w:rsidRDefault="00BE3758">
            <w:pPr>
              <w:pStyle w:val="TableParagraph"/>
            </w:pPr>
            <w:r w:rsidRPr="00467BD3">
              <w:t>Magdalena Olszewska</w:t>
            </w:r>
            <w:r w:rsidR="00E06656" w:rsidRPr="00467BD3">
              <w:t xml:space="preserve"> – naczelnik wydziału w Departamencie </w:t>
            </w:r>
            <w:r w:rsidRPr="00467BD3">
              <w:t xml:space="preserve">Europejskiego Funduszu Społecznego, </w:t>
            </w:r>
            <w:r w:rsidR="00E06656" w:rsidRPr="00467BD3">
              <w:t>tel. 22</w:t>
            </w:r>
            <w:r w:rsidRPr="00467BD3">
              <w:t> 273 80 25</w:t>
            </w:r>
            <w:r w:rsidR="00E06656" w:rsidRPr="00467BD3">
              <w:t xml:space="preserve">, e-mail: </w:t>
            </w:r>
            <w:hyperlink r:id="rId9" w:history="1">
              <w:r w:rsidRPr="00467BD3">
                <w:rPr>
                  <w:rStyle w:val="Hipercze"/>
                </w:rPr>
                <w:t>magdalena.olszewska@mfipr.gov.pl</w:t>
              </w:r>
            </w:hyperlink>
          </w:p>
          <w:p w14:paraId="0B17406A" w14:textId="1C448843" w:rsidR="00BE3758" w:rsidRPr="00467BD3" w:rsidRDefault="00BE3758">
            <w:pPr>
              <w:pStyle w:val="TableParagraph"/>
            </w:pPr>
          </w:p>
        </w:tc>
        <w:tc>
          <w:tcPr>
            <w:tcW w:w="4289" w:type="dxa"/>
            <w:gridSpan w:val="2"/>
            <w:tcBorders>
              <w:top w:val="nil"/>
              <w:bottom w:val="nil"/>
            </w:tcBorders>
          </w:tcPr>
          <w:p w14:paraId="160EE4AC" w14:textId="77777777" w:rsidR="009C15F8" w:rsidRPr="00467BD3" w:rsidRDefault="009C15F8">
            <w:pPr>
              <w:pStyle w:val="TableParagraph"/>
              <w:ind w:left="0"/>
            </w:pPr>
          </w:p>
        </w:tc>
      </w:tr>
      <w:tr w:rsidR="009C15F8" w:rsidRPr="00467BD3" w14:paraId="0B2E49C2" w14:textId="77777777">
        <w:trPr>
          <w:trHeight w:val="561"/>
        </w:trPr>
        <w:tc>
          <w:tcPr>
            <w:tcW w:w="6768" w:type="dxa"/>
            <w:gridSpan w:val="3"/>
            <w:tcBorders>
              <w:top w:val="nil"/>
            </w:tcBorders>
          </w:tcPr>
          <w:p w14:paraId="1C62AE4E" w14:textId="6BC07BD8" w:rsidR="009C15F8" w:rsidRPr="00467BD3" w:rsidRDefault="00BE3758">
            <w:pPr>
              <w:pStyle w:val="TableParagraph"/>
              <w:spacing w:before="35" w:line="250" w:lineRule="atLeast"/>
            </w:pPr>
            <w:r w:rsidRPr="00467BD3">
              <w:t>Dominika Wierzbowska</w:t>
            </w:r>
            <w:r w:rsidR="00E06656" w:rsidRPr="00467BD3">
              <w:t xml:space="preserve"> – główny specjalista w Departamencie </w:t>
            </w:r>
            <w:r w:rsidRPr="00467BD3">
              <w:t>Europejskiego Funduszu Społecznego,</w:t>
            </w:r>
            <w:r w:rsidR="00E06656" w:rsidRPr="00467BD3">
              <w:t xml:space="preserve"> tel. 22</w:t>
            </w:r>
            <w:r w:rsidRPr="00467BD3">
              <w:t> 273 86 04</w:t>
            </w:r>
            <w:r w:rsidR="00E06656" w:rsidRPr="00467BD3">
              <w:t>, e-mail:</w:t>
            </w:r>
            <w:r w:rsidRPr="00467BD3">
              <w:t xml:space="preserve"> </w:t>
            </w:r>
            <w:hyperlink r:id="rId10" w:history="1">
              <w:r w:rsidR="008A266A" w:rsidRPr="00467BD3">
                <w:rPr>
                  <w:rStyle w:val="Hipercze"/>
                </w:rPr>
                <w:t>dominika.wierzbowska@mfipr.gov.pl</w:t>
              </w:r>
            </w:hyperlink>
          </w:p>
        </w:tc>
        <w:tc>
          <w:tcPr>
            <w:tcW w:w="4289" w:type="dxa"/>
            <w:gridSpan w:val="2"/>
            <w:tcBorders>
              <w:top w:val="nil"/>
            </w:tcBorders>
          </w:tcPr>
          <w:p w14:paraId="10C5B144" w14:textId="77777777" w:rsidR="009C15F8" w:rsidRPr="00467BD3" w:rsidRDefault="009C15F8">
            <w:pPr>
              <w:pStyle w:val="TableParagraph"/>
              <w:ind w:left="0"/>
            </w:pPr>
          </w:p>
        </w:tc>
      </w:tr>
      <w:tr w:rsidR="009C15F8" w:rsidRPr="00467BD3" w14:paraId="18F1CC22" w14:textId="77777777">
        <w:trPr>
          <w:trHeight w:val="367"/>
        </w:trPr>
        <w:tc>
          <w:tcPr>
            <w:tcW w:w="11057" w:type="dxa"/>
            <w:gridSpan w:val="5"/>
            <w:shd w:val="clear" w:color="auto" w:fill="53A824"/>
          </w:tcPr>
          <w:p w14:paraId="09D058F8" w14:textId="77777777" w:rsidR="009C15F8" w:rsidRPr="00467BD3" w:rsidRDefault="00E06656">
            <w:pPr>
              <w:pStyle w:val="TableParagraph"/>
              <w:spacing w:line="348" w:lineRule="exact"/>
              <w:ind w:left="65"/>
              <w:jc w:val="center"/>
              <w:rPr>
                <w:b/>
                <w:sz w:val="32"/>
              </w:rPr>
            </w:pPr>
            <w:r w:rsidRPr="00467BD3">
              <w:rPr>
                <w:b/>
                <w:color w:val="FFFFFF"/>
                <w:sz w:val="32"/>
              </w:rPr>
              <w:t>OCENA</w:t>
            </w:r>
            <w:r w:rsidRPr="00467BD3">
              <w:rPr>
                <w:b/>
                <w:color w:val="FFFFFF"/>
                <w:spacing w:val="-7"/>
                <w:sz w:val="32"/>
              </w:rPr>
              <w:t xml:space="preserve"> </w:t>
            </w:r>
            <w:r w:rsidRPr="00467BD3">
              <w:rPr>
                <w:b/>
                <w:color w:val="FFFFFF"/>
                <w:sz w:val="32"/>
              </w:rPr>
              <w:t>FUNKCJONOWANIA</w:t>
            </w:r>
            <w:r w:rsidRPr="00467BD3">
              <w:rPr>
                <w:b/>
                <w:color w:val="FFFFFF"/>
                <w:spacing w:val="-7"/>
                <w:sz w:val="32"/>
              </w:rPr>
              <w:t xml:space="preserve"> </w:t>
            </w:r>
            <w:r w:rsidRPr="00467BD3">
              <w:rPr>
                <w:b/>
                <w:color w:val="FFFFFF"/>
                <w:sz w:val="32"/>
              </w:rPr>
              <w:t>USTAWY</w:t>
            </w:r>
            <w:r w:rsidRPr="00467BD3">
              <w:rPr>
                <w:b/>
                <w:color w:val="FFFFFF"/>
                <w:spacing w:val="-7"/>
                <w:sz w:val="32"/>
              </w:rPr>
              <w:t xml:space="preserve"> </w:t>
            </w:r>
            <w:r w:rsidRPr="00467BD3">
              <w:rPr>
                <w:b/>
                <w:color w:val="FFFFFF"/>
                <w:sz w:val="32"/>
              </w:rPr>
              <w:t>(OSR</w:t>
            </w:r>
            <w:r w:rsidRPr="00467BD3">
              <w:rPr>
                <w:b/>
                <w:color w:val="FFFFFF"/>
                <w:spacing w:val="-7"/>
                <w:sz w:val="32"/>
              </w:rPr>
              <w:t xml:space="preserve"> </w:t>
            </w:r>
            <w:r w:rsidRPr="00467BD3">
              <w:rPr>
                <w:b/>
                <w:color w:val="FFFFFF"/>
                <w:sz w:val="32"/>
              </w:rPr>
              <w:t>EX-</w:t>
            </w:r>
            <w:r w:rsidRPr="00467BD3">
              <w:rPr>
                <w:b/>
                <w:color w:val="FFFFFF"/>
                <w:spacing w:val="-2"/>
                <w:sz w:val="32"/>
              </w:rPr>
              <w:t>POST)</w:t>
            </w:r>
          </w:p>
        </w:tc>
      </w:tr>
      <w:tr w:rsidR="009C15F8" w:rsidRPr="00467BD3" w14:paraId="61A7E848" w14:textId="77777777">
        <w:trPr>
          <w:trHeight w:val="372"/>
        </w:trPr>
        <w:tc>
          <w:tcPr>
            <w:tcW w:w="11057" w:type="dxa"/>
            <w:gridSpan w:val="5"/>
            <w:shd w:val="clear" w:color="auto" w:fill="53A824"/>
          </w:tcPr>
          <w:p w14:paraId="0F30E402" w14:textId="77777777" w:rsidR="009C15F8" w:rsidRPr="00467BD3" w:rsidRDefault="00E06656">
            <w:pPr>
              <w:pStyle w:val="TableParagraph"/>
              <w:spacing w:before="60"/>
              <w:ind w:left="141"/>
              <w:rPr>
                <w:b/>
              </w:rPr>
            </w:pPr>
            <w:r w:rsidRPr="00467BD3">
              <w:rPr>
                <w:b/>
              </w:rPr>
              <w:t>1.</w:t>
            </w:r>
            <w:r w:rsidRPr="00467BD3">
              <w:rPr>
                <w:b/>
                <w:spacing w:val="61"/>
              </w:rPr>
              <w:t xml:space="preserve"> </w:t>
            </w:r>
            <w:r w:rsidRPr="00467BD3">
              <w:rPr>
                <w:b/>
              </w:rPr>
              <w:t>Zakres</w:t>
            </w:r>
            <w:r w:rsidRPr="00467BD3">
              <w:rPr>
                <w:b/>
                <w:spacing w:val="-2"/>
              </w:rPr>
              <w:t xml:space="preserve"> </w:t>
            </w:r>
            <w:r w:rsidRPr="00467BD3">
              <w:rPr>
                <w:b/>
              </w:rPr>
              <w:t>przedmiotowy</w:t>
            </w:r>
            <w:r w:rsidRPr="00467BD3">
              <w:rPr>
                <w:b/>
                <w:spacing w:val="-1"/>
              </w:rPr>
              <w:t xml:space="preserve"> </w:t>
            </w:r>
            <w:r w:rsidRPr="00467BD3">
              <w:rPr>
                <w:b/>
                <w:spacing w:val="-2"/>
              </w:rPr>
              <w:t>ustawy</w:t>
            </w:r>
          </w:p>
        </w:tc>
      </w:tr>
      <w:tr w:rsidR="009C15F8" w:rsidRPr="00957B06" w14:paraId="2E084A24" w14:textId="77777777">
        <w:trPr>
          <w:trHeight w:val="8755"/>
        </w:trPr>
        <w:tc>
          <w:tcPr>
            <w:tcW w:w="11057" w:type="dxa"/>
            <w:gridSpan w:val="5"/>
          </w:tcPr>
          <w:p w14:paraId="0C90FF73" w14:textId="54801D6C" w:rsidR="00BD6F9A" w:rsidRPr="00957B06" w:rsidRDefault="00FB0CF6" w:rsidP="00581A93">
            <w:pPr>
              <w:widowControl/>
              <w:autoSpaceDE/>
              <w:autoSpaceDN/>
              <w:spacing w:after="160" w:line="259" w:lineRule="auto"/>
              <w:contextualSpacing/>
            </w:pPr>
            <w:r w:rsidRPr="00467BD3">
              <w:rPr>
                <w:rFonts w:eastAsia="Calibri"/>
                <w:color w:val="000000"/>
              </w:rPr>
              <w:t xml:space="preserve">Ustawa o zapewnianiu dostępności osobom ze szczególnymi potrzebami jest pierwszym w Polsce systemowym rozwiązaniem określającym środki służące zapewnianiu dostępności. </w:t>
            </w:r>
            <w:r w:rsidR="00DF1AB7" w:rsidRPr="00467BD3">
              <w:rPr>
                <w:rFonts w:eastAsia="Calibri"/>
                <w:color w:val="000000"/>
              </w:rPr>
              <w:t xml:space="preserve">Jej zasadniczym celem </w:t>
            </w:r>
            <w:r w:rsidR="009E687A" w:rsidRPr="00467BD3">
              <w:rPr>
                <w:rFonts w:eastAsia="Calibri"/>
                <w:color w:val="000000"/>
              </w:rPr>
              <w:t>jest</w:t>
            </w:r>
            <w:r w:rsidR="00DF1AB7" w:rsidRPr="00467BD3">
              <w:rPr>
                <w:rFonts w:eastAsia="Calibri"/>
                <w:color w:val="000000"/>
              </w:rPr>
              <w:t xml:space="preserve"> poprawa dostępności podmiotów publicznych, dzięki której osoby ze szczególnymi potrzebami, w sposób możliwie samodzielny</w:t>
            </w:r>
            <w:r w:rsidR="009120BA" w:rsidRPr="00467BD3">
              <w:rPr>
                <w:rFonts w:eastAsia="Calibri"/>
                <w:color w:val="000000"/>
              </w:rPr>
              <w:t>,</w:t>
            </w:r>
            <w:r w:rsidR="00DF1AB7" w:rsidRPr="00467BD3">
              <w:rPr>
                <w:rFonts w:eastAsia="Calibri"/>
                <w:color w:val="000000"/>
              </w:rPr>
              <w:t xml:space="preserve"> mogą korzystać z usług publicznych. </w:t>
            </w:r>
            <w:r w:rsidR="00BD6F9A" w:rsidRPr="00957B06">
              <w:rPr>
                <w:rFonts w:eastAsia="Calibri"/>
                <w:color w:val="000000"/>
              </w:rPr>
              <w:t>W ustawie użyto zwrotu osoby ze szczególnymi potrzebami co</w:t>
            </w:r>
            <w:r w:rsidR="00581A93" w:rsidRPr="00957B06">
              <w:rPr>
                <w:rFonts w:eastAsia="Calibri"/>
                <w:color w:val="000000"/>
              </w:rPr>
              <w:t xml:space="preserve"> </w:t>
            </w:r>
            <w:r w:rsidR="00BD6F9A" w:rsidRPr="00957B06">
              <w:rPr>
                <w:rFonts w:eastAsia="Calibri"/>
                <w:color w:val="000000"/>
              </w:rPr>
              <w:t xml:space="preserve">odnosi się do szerokiego grona grup społecznych i środowisk. </w:t>
            </w:r>
            <w:r w:rsidR="00581A93" w:rsidRPr="00957B06">
              <w:rPr>
                <w:rFonts w:eastAsia="Calibri"/>
                <w:color w:val="000000"/>
              </w:rPr>
              <w:t xml:space="preserve">Rozwiązania z zakresu </w:t>
            </w:r>
            <w:r w:rsidR="00BD6F9A" w:rsidRPr="00957B06">
              <w:rPr>
                <w:rFonts w:eastAsia="Calibri"/>
                <w:color w:val="000000"/>
              </w:rPr>
              <w:t>dostępności</w:t>
            </w:r>
            <w:r w:rsidR="000950D0" w:rsidRPr="00957B06">
              <w:rPr>
                <w:rFonts w:eastAsia="Calibri"/>
                <w:color w:val="000000"/>
              </w:rPr>
              <w:t xml:space="preserve">, określone w ustawie, </w:t>
            </w:r>
            <w:r w:rsidR="00581A93" w:rsidRPr="00957B06">
              <w:rPr>
                <w:rFonts w:eastAsia="Calibri"/>
                <w:color w:val="000000"/>
              </w:rPr>
              <w:t xml:space="preserve">mają służyć nie tylko osobom z różnego rodzaju niepełnosprawnościami; ruchową, wzorku, słuchu, intelektualną ale oddziaływać znacznie szerzej  </w:t>
            </w:r>
            <w:r w:rsidR="00BD6F9A" w:rsidRPr="00957B06">
              <w:rPr>
                <w:rFonts w:eastAsia="Calibri"/>
                <w:color w:val="000000"/>
              </w:rPr>
              <w:t>wspiera</w:t>
            </w:r>
            <w:r w:rsidR="00581A93" w:rsidRPr="00957B06">
              <w:rPr>
                <w:rFonts w:eastAsia="Calibri"/>
                <w:color w:val="000000"/>
              </w:rPr>
              <w:t>jąc</w:t>
            </w:r>
            <w:r w:rsidR="00BD6F9A" w:rsidRPr="00957B06">
              <w:rPr>
                <w:rFonts w:eastAsia="Calibri"/>
                <w:color w:val="000000"/>
              </w:rPr>
              <w:t xml:space="preserve"> samodzielnoś</w:t>
            </w:r>
            <w:r w:rsidR="00581A93" w:rsidRPr="00957B06">
              <w:rPr>
                <w:rFonts w:eastAsia="Calibri"/>
                <w:color w:val="000000"/>
              </w:rPr>
              <w:t>ć</w:t>
            </w:r>
            <w:r w:rsidR="00BD6F9A" w:rsidRPr="00957B06">
              <w:rPr>
                <w:rFonts w:eastAsia="Calibri"/>
                <w:color w:val="000000"/>
              </w:rPr>
              <w:t xml:space="preserve"> i komfort codziennego funkcjonowania: osób, które podróżują, poruszają się z bagażem, wózkami z małymi dziećmi, osób z czasowymi ograniczeniami w ruchu np. po urazach, z</w:t>
            </w:r>
            <w:r w:rsidR="00581A93" w:rsidRPr="00957B06">
              <w:rPr>
                <w:rFonts w:eastAsia="Calibri"/>
                <w:color w:val="000000"/>
              </w:rPr>
              <w:t>a</w:t>
            </w:r>
            <w:r w:rsidR="00BD6F9A" w:rsidRPr="00957B06">
              <w:rPr>
                <w:rFonts w:eastAsia="Calibri"/>
                <w:color w:val="000000"/>
              </w:rPr>
              <w:t xml:space="preserve">biegach, chorobach, poruszające się o kulach, poruszających się na wózku, o nadmiernej wadze, </w:t>
            </w:r>
            <w:r w:rsidR="00581A93" w:rsidRPr="00957B06">
              <w:rPr>
                <w:rFonts w:eastAsia="Calibri"/>
                <w:color w:val="000000"/>
              </w:rPr>
              <w:t>w tym również rosnącej grupie</w:t>
            </w:r>
            <w:r w:rsidR="00BD6F9A" w:rsidRPr="00957B06">
              <w:rPr>
                <w:rFonts w:eastAsia="Calibri"/>
                <w:color w:val="000000"/>
              </w:rPr>
              <w:t xml:space="preserve"> seniorów</w:t>
            </w:r>
            <w:r w:rsidR="00581A93" w:rsidRPr="00957B06">
              <w:rPr>
                <w:rFonts w:eastAsia="Calibri"/>
                <w:color w:val="000000"/>
              </w:rPr>
              <w:t>. Intencją ustawodawcy jest popularyzacja dostępności, jako rozwiązania, które służy każdemu obywatelowi, dlatego ważne jest horyzontalne podejście do jej wdrażania.</w:t>
            </w:r>
          </w:p>
          <w:p w14:paraId="3E4956E6" w14:textId="54733A43" w:rsidR="00DF1AB7" w:rsidRPr="00957B06" w:rsidRDefault="00BD6F9A" w:rsidP="00610AA3">
            <w:pPr>
              <w:pStyle w:val="ARTartustawynprozporzdzenia"/>
              <w:spacing w:before="0" w:line="240" w:lineRule="auto"/>
              <w:ind w:firstLine="0"/>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 xml:space="preserve">Ustawa określa obowiązki podmiotów publicznych w tym zakresie. </w:t>
            </w:r>
            <w:r w:rsidR="003C7E2B" w:rsidRPr="00957B06">
              <w:rPr>
                <w:rFonts w:ascii="Times New Roman" w:eastAsia="Calibri" w:hAnsi="Times New Roman" w:cs="Times New Roman"/>
                <w:color w:val="000000"/>
                <w:sz w:val="22"/>
                <w:szCs w:val="22"/>
                <w:lang w:eastAsia="en-US"/>
              </w:rPr>
              <w:t xml:space="preserve">Rozwiązania przewidziane w ustawie określają środki wyrównywania szans osób ze szczególnymi potrzebami </w:t>
            </w:r>
            <w:r w:rsidR="00DF1AB7" w:rsidRPr="00957B06">
              <w:rPr>
                <w:rFonts w:ascii="Times New Roman" w:eastAsia="Calibri" w:hAnsi="Times New Roman" w:cs="Times New Roman"/>
                <w:color w:val="000000"/>
                <w:sz w:val="22"/>
                <w:szCs w:val="22"/>
                <w:lang w:eastAsia="en-US"/>
              </w:rPr>
              <w:t xml:space="preserve"> w zakresie dostępu do podmiotów publicznych. </w:t>
            </w:r>
            <w:r w:rsidR="003C7E2B" w:rsidRPr="00957B06">
              <w:rPr>
                <w:rFonts w:ascii="Times New Roman" w:eastAsia="Calibri" w:hAnsi="Times New Roman" w:cs="Times New Roman"/>
                <w:color w:val="000000"/>
                <w:sz w:val="22"/>
                <w:szCs w:val="22"/>
                <w:lang w:eastAsia="en-US"/>
              </w:rPr>
              <w:t>Określone zostały one w art. 6 ustawy, który wskazuje na główne sposoby zapewnienia dostępności w wymiarze architektonicznym, cyfrowym i informacyjno-komunikacyjnym., W praktyce obejmują one zarówno uniwersalne projektowanie nowych działań i rozwiązań, jak i stosowanie racjonalnych usprawnień w usuwaniu istniejących barier.</w:t>
            </w:r>
            <w:r w:rsidR="00DF1AB7" w:rsidRPr="00957B06">
              <w:rPr>
                <w:rFonts w:ascii="Times New Roman" w:eastAsia="Calibri" w:hAnsi="Times New Roman" w:cs="Times New Roman"/>
                <w:color w:val="000000"/>
                <w:sz w:val="22"/>
                <w:szCs w:val="22"/>
                <w:lang w:eastAsia="en-US"/>
              </w:rPr>
              <w:t xml:space="preserve"> </w:t>
            </w:r>
            <w:r w:rsidR="00EC592E" w:rsidRPr="00957B06">
              <w:rPr>
                <w:rFonts w:ascii="Times New Roman" w:eastAsia="Calibri" w:hAnsi="Times New Roman" w:cs="Times New Roman"/>
                <w:color w:val="000000"/>
                <w:sz w:val="22"/>
                <w:szCs w:val="22"/>
                <w:lang w:eastAsia="en-US"/>
              </w:rPr>
              <w:t xml:space="preserve">Ustawa zawiera następujące mechanizmy: </w:t>
            </w:r>
          </w:p>
          <w:p w14:paraId="1E979AEF" w14:textId="56E729B2" w:rsidR="00DF1AB7" w:rsidRPr="00957B06" w:rsidRDefault="00DF1AB7" w:rsidP="004F013E">
            <w:pPr>
              <w:pStyle w:val="ARTartustawynprozporzdzenia"/>
              <w:numPr>
                <w:ilvl w:val="0"/>
                <w:numId w:val="3"/>
              </w:numPr>
              <w:spacing w:before="0" w:after="120" w:line="240" w:lineRule="auto"/>
              <w:jc w:val="left"/>
              <w:rPr>
                <w:rFonts w:ascii="Times New Roman" w:eastAsia="Calibri" w:hAnsi="Times New Roman" w:cs="Times New Roman"/>
                <w:b/>
                <w:color w:val="000000"/>
                <w:sz w:val="22"/>
                <w:szCs w:val="22"/>
                <w:lang w:eastAsia="en-US"/>
              </w:rPr>
            </w:pPr>
            <w:r w:rsidRPr="00957B06">
              <w:rPr>
                <w:rFonts w:ascii="Times New Roman" w:eastAsia="Calibri" w:hAnsi="Times New Roman" w:cs="Times New Roman"/>
                <w:b/>
                <w:color w:val="000000"/>
                <w:sz w:val="22"/>
                <w:szCs w:val="22"/>
                <w:lang w:eastAsia="en-US"/>
              </w:rPr>
              <w:t>Koordynacja</w:t>
            </w:r>
            <w:r w:rsidR="00EC592E" w:rsidRPr="00957B06">
              <w:rPr>
                <w:rFonts w:ascii="Times New Roman" w:eastAsia="Calibri" w:hAnsi="Times New Roman" w:cs="Times New Roman"/>
                <w:b/>
                <w:color w:val="000000"/>
                <w:sz w:val="22"/>
                <w:szCs w:val="22"/>
                <w:lang w:eastAsia="en-US"/>
              </w:rPr>
              <w:t xml:space="preserve"> procesu zapewniania dostępności</w:t>
            </w:r>
          </w:p>
          <w:p w14:paraId="2F2E7C69" w14:textId="246BBEF8" w:rsidR="005373CF" w:rsidRPr="00957B06" w:rsidRDefault="00DF1AB7" w:rsidP="00610AA3">
            <w:pPr>
              <w:pStyle w:val="ARTartustawynprozporzdzenia"/>
              <w:spacing w:before="0" w:line="240" w:lineRule="auto"/>
              <w:ind w:firstLine="0"/>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 xml:space="preserve">Ustawa dostarczyła ram systemowych dla zapewnienia dostępności </w:t>
            </w:r>
            <w:r w:rsidR="00EC592E" w:rsidRPr="00957B06">
              <w:rPr>
                <w:rFonts w:ascii="Times New Roman" w:eastAsia="Calibri" w:hAnsi="Times New Roman" w:cs="Times New Roman"/>
                <w:color w:val="000000"/>
                <w:sz w:val="22"/>
                <w:szCs w:val="22"/>
                <w:lang w:eastAsia="en-US"/>
              </w:rPr>
              <w:t>w</w:t>
            </w:r>
            <w:r w:rsidRPr="00957B06">
              <w:rPr>
                <w:rFonts w:ascii="Times New Roman" w:eastAsia="Calibri" w:hAnsi="Times New Roman" w:cs="Times New Roman"/>
                <w:color w:val="000000"/>
                <w:sz w:val="22"/>
                <w:szCs w:val="22"/>
                <w:lang w:eastAsia="en-US"/>
              </w:rPr>
              <w:t xml:space="preserve"> politykach publicznych. </w:t>
            </w:r>
            <w:r w:rsidR="00CB4064" w:rsidRPr="00957B06">
              <w:rPr>
                <w:rFonts w:ascii="Times New Roman" w:eastAsia="Calibri" w:hAnsi="Times New Roman" w:cs="Times New Roman"/>
                <w:color w:val="000000"/>
                <w:sz w:val="22"/>
                <w:szCs w:val="22"/>
                <w:lang w:eastAsia="en-US"/>
              </w:rPr>
              <w:t xml:space="preserve">Działania koordynacyjne realizuje minister właściwy do spraw rozwoju regionalnego.  Inicjuje on i monitoruje zapewnienie dostępności w różnych politykach publicznych na poziomie rządowym. </w:t>
            </w:r>
            <w:r w:rsidRPr="00957B06">
              <w:rPr>
                <w:rFonts w:ascii="Times New Roman" w:eastAsia="Calibri" w:hAnsi="Times New Roman" w:cs="Times New Roman"/>
                <w:color w:val="000000"/>
                <w:sz w:val="22"/>
                <w:szCs w:val="22"/>
                <w:lang w:eastAsia="en-US"/>
              </w:rPr>
              <w:t xml:space="preserve"> </w:t>
            </w:r>
            <w:r w:rsidR="005373CF" w:rsidRPr="00957B06">
              <w:rPr>
                <w:rFonts w:ascii="Times New Roman" w:eastAsia="Calibri" w:hAnsi="Times New Roman" w:cs="Times New Roman"/>
                <w:color w:val="000000"/>
                <w:sz w:val="22"/>
                <w:szCs w:val="22"/>
                <w:lang w:eastAsia="en-US"/>
              </w:rPr>
              <w:t>I</w:t>
            </w:r>
            <w:r w:rsidRPr="00957B06">
              <w:rPr>
                <w:rFonts w:ascii="Times New Roman" w:eastAsia="Calibri" w:hAnsi="Times New Roman" w:cs="Times New Roman"/>
                <w:color w:val="000000"/>
                <w:sz w:val="22"/>
                <w:szCs w:val="22"/>
                <w:lang w:eastAsia="en-US"/>
              </w:rPr>
              <w:t xml:space="preserve">stotnym elementem zapewnienia koordynacji działań </w:t>
            </w:r>
            <w:r w:rsidR="009E687A" w:rsidRPr="00957B06">
              <w:rPr>
                <w:rFonts w:ascii="Times New Roman" w:eastAsia="Calibri" w:hAnsi="Times New Roman" w:cs="Times New Roman"/>
                <w:color w:val="000000"/>
                <w:sz w:val="22"/>
                <w:szCs w:val="22"/>
                <w:lang w:eastAsia="en-US"/>
              </w:rPr>
              <w:t>s</w:t>
            </w:r>
            <w:r w:rsidRPr="00957B06">
              <w:rPr>
                <w:rFonts w:ascii="Times New Roman" w:eastAsia="Calibri" w:hAnsi="Times New Roman" w:cs="Times New Roman"/>
                <w:color w:val="000000"/>
                <w:sz w:val="22"/>
                <w:szCs w:val="22"/>
                <w:lang w:eastAsia="en-US"/>
              </w:rPr>
              <w:t>ą prace</w:t>
            </w:r>
            <w:r w:rsidR="005373CF" w:rsidRPr="00957B06">
              <w:rPr>
                <w:rFonts w:ascii="Times New Roman" w:eastAsia="Calibri" w:hAnsi="Times New Roman" w:cs="Times New Roman"/>
                <w:color w:val="000000"/>
                <w:sz w:val="22"/>
                <w:szCs w:val="22"/>
                <w:lang w:eastAsia="en-US"/>
              </w:rPr>
              <w:t xml:space="preserve"> prowadzone przez</w:t>
            </w:r>
            <w:r w:rsidRPr="00957B06">
              <w:rPr>
                <w:rFonts w:ascii="Times New Roman" w:eastAsia="Calibri" w:hAnsi="Times New Roman" w:cs="Times New Roman"/>
                <w:color w:val="000000"/>
                <w:sz w:val="22"/>
                <w:szCs w:val="22"/>
                <w:lang w:eastAsia="en-US"/>
              </w:rPr>
              <w:t xml:space="preserve"> Rad</w:t>
            </w:r>
            <w:r w:rsidR="005373CF" w:rsidRPr="00957B06">
              <w:rPr>
                <w:rFonts w:ascii="Times New Roman" w:eastAsia="Calibri" w:hAnsi="Times New Roman" w:cs="Times New Roman"/>
                <w:color w:val="000000"/>
                <w:sz w:val="22"/>
                <w:szCs w:val="22"/>
                <w:lang w:eastAsia="en-US"/>
              </w:rPr>
              <w:t>ę</w:t>
            </w:r>
            <w:r w:rsidRPr="00957B06">
              <w:rPr>
                <w:rFonts w:ascii="Times New Roman" w:eastAsia="Calibri" w:hAnsi="Times New Roman" w:cs="Times New Roman"/>
                <w:color w:val="000000"/>
                <w:sz w:val="22"/>
                <w:szCs w:val="22"/>
                <w:lang w:eastAsia="en-US"/>
              </w:rPr>
              <w:t xml:space="preserve"> Dostępności, któr</w:t>
            </w:r>
            <w:r w:rsidR="005373CF" w:rsidRPr="00957B06">
              <w:rPr>
                <w:rFonts w:ascii="Times New Roman" w:eastAsia="Calibri" w:hAnsi="Times New Roman" w:cs="Times New Roman"/>
                <w:color w:val="000000"/>
                <w:sz w:val="22"/>
                <w:szCs w:val="22"/>
                <w:lang w:eastAsia="en-US"/>
              </w:rPr>
              <w:t>a</w:t>
            </w:r>
            <w:r w:rsidRPr="00957B06">
              <w:rPr>
                <w:rFonts w:ascii="Times New Roman" w:eastAsia="Calibri" w:hAnsi="Times New Roman" w:cs="Times New Roman"/>
                <w:color w:val="000000"/>
                <w:sz w:val="22"/>
                <w:szCs w:val="22"/>
                <w:lang w:eastAsia="en-US"/>
              </w:rPr>
              <w:t xml:space="preserve"> jako organ konsultacyjno-doradczy </w:t>
            </w:r>
            <w:r w:rsidR="00EC592E" w:rsidRPr="00957B06">
              <w:rPr>
                <w:rFonts w:ascii="Times New Roman" w:eastAsia="Calibri" w:hAnsi="Times New Roman" w:cs="Times New Roman"/>
                <w:color w:val="000000"/>
                <w:sz w:val="22"/>
                <w:szCs w:val="22"/>
                <w:lang w:eastAsia="en-US"/>
              </w:rPr>
              <w:t xml:space="preserve">doradza ministrowi </w:t>
            </w:r>
            <w:r w:rsidRPr="00957B06">
              <w:rPr>
                <w:rFonts w:ascii="Times New Roman" w:eastAsia="Calibri" w:hAnsi="Times New Roman" w:cs="Times New Roman"/>
                <w:color w:val="000000"/>
                <w:sz w:val="22"/>
                <w:szCs w:val="22"/>
                <w:lang w:eastAsia="en-US"/>
              </w:rPr>
              <w:t xml:space="preserve"> </w:t>
            </w:r>
            <w:r w:rsidR="005373CF" w:rsidRPr="00957B06">
              <w:rPr>
                <w:rFonts w:ascii="Times New Roman" w:eastAsia="Calibri" w:hAnsi="Times New Roman" w:cs="Times New Roman"/>
                <w:color w:val="000000"/>
                <w:sz w:val="22"/>
                <w:szCs w:val="22"/>
                <w:lang w:eastAsia="en-US"/>
              </w:rPr>
              <w:t>w zakresie</w:t>
            </w:r>
            <w:r w:rsidRPr="00957B06">
              <w:rPr>
                <w:rFonts w:ascii="Times New Roman" w:eastAsia="Calibri" w:hAnsi="Times New Roman" w:cs="Times New Roman"/>
                <w:color w:val="000000"/>
                <w:sz w:val="22"/>
                <w:szCs w:val="22"/>
                <w:lang w:eastAsia="en-US"/>
              </w:rPr>
              <w:t xml:space="preserve"> zarządzania dostępnością. Rada w sposób kolegialny wypracowuje i rekomenduje do wdrożenia rozwiązania dla różnych sektorów i polityk publicznych. </w:t>
            </w:r>
            <w:r w:rsidR="009E2BC8" w:rsidRPr="00957B06">
              <w:rPr>
                <w:rFonts w:ascii="Times New Roman" w:eastAsia="Calibri" w:hAnsi="Times New Roman" w:cs="Times New Roman"/>
                <w:color w:val="000000"/>
                <w:sz w:val="22"/>
                <w:szCs w:val="22"/>
                <w:lang w:eastAsia="en-US"/>
              </w:rPr>
              <w:t>N</w:t>
            </w:r>
            <w:r w:rsidR="005373CF" w:rsidRPr="00957B06">
              <w:rPr>
                <w:rFonts w:ascii="Times New Roman" w:eastAsia="Calibri" w:hAnsi="Times New Roman" w:cs="Times New Roman"/>
                <w:color w:val="000000"/>
                <w:sz w:val="22"/>
                <w:szCs w:val="22"/>
                <w:lang w:eastAsia="en-US"/>
              </w:rPr>
              <w:t xml:space="preserve">a poziomie </w:t>
            </w:r>
            <w:r w:rsidR="00EC592E" w:rsidRPr="00957B06">
              <w:rPr>
                <w:rFonts w:ascii="Times New Roman" w:eastAsia="Calibri" w:hAnsi="Times New Roman" w:cs="Times New Roman"/>
                <w:color w:val="000000"/>
                <w:sz w:val="22"/>
                <w:szCs w:val="22"/>
                <w:lang w:eastAsia="en-US"/>
              </w:rPr>
              <w:t>niektórych kategorii podmiotów publicznych wprowadzono</w:t>
            </w:r>
            <w:r w:rsidR="005373CF" w:rsidRPr="00957B06">
              <w:rPr>
                <w:rFonts w:ascii="Times New Roman" w:eastAsia="Calibri" w:hAnsi="Times New Roman" w:cs="Times New Roman"/>
                <w:color w:val="000000"/>
                <w:sz w:val="22"/>
                <w:szCs w:val="22"/>
                <w:lang w:eastAsia="en-US"/>
              </w:rPr>
              <w:t xml:space="preserve"> funkcję koordynatora dostępności. </w:t>
            </w:r>
            <w:r w:rsidRPr="00957B06">
              <w:rPr>
                <w:rFonts w:ascii="Times New Roman" w:eastAsia="Calibri" w:hAnsi="Times New Roman" w:cs="Times New Roman"/>
                <w:color w:val="000000"/>
                <w:sz w:val="22"/>
                <w:szCs w:val="22"/>
                <w:lang w:eastAsia="en-US"/>
              </w:rPr>
              <w:t xml:space="preserve">Zobowiązany do jego wyznaczenia jest każdy organ władzy publicznej, w tym organ administracji rządowej i samorządowej, organ kontroli państwowej i ochrony prawa oraz sądy i trybunały. </w:t>
            </w:r>
            <w:r w:rsidR="00CB4064" w:rsidRPr="00957B06">
              <w:rPr>
                <w:rFonts w:ascii="Times New Roman" w:eastAsia="Calibri" w:hAnsi="Times New Roman" w:cs="Times New Roman"/>
                <w:color w:val="000000"/>
                <w:sz w:val="22"/>
                <w:szCs w:val="22"/>
                <w:lang w:eastAsia="en-US"/>
              </w:rPr>
              <w:t>Funkcja koordynatora dostępności ma w wielu instytucjach charakter formalny i nie jest powiązana z realnymi kompetencjami.</w:t>
            </w:r>
          </w:p>
          <w:p w14:paraId="0B686757" w14:textId="77777777" w:rsidR="00DF1AB7" w:rsidRPr="00957B06" w:rsidRDefault="00DF1AB7" w:rsidP="004F013E">
            <w:pPr>
              <w:pStyle w:val="ARTartustawynprozporzdzenia"/>
              <w:numPr>
                <w:ilvl w:val="0"/>
                <w:numId w:val="3"/>
              </w:numPr>
              <w:spacing w:before="0" w:after="120" w:line="240" w:lineRule="auto"/>
              <w:jc w:val="left"/>
              <w:rPr>
                <w:rFonts w:ascii="Times New Roman" w:eastAsia="Calibri" w:hAnsi="Times New Roman" w:cs="Times New Roman"/>
                <w:b/>
                <w:color w:val="000000"/>
                <w:sz w:val="22"/>
                <w:szCs w:val="22"/>
                <w:lang w:eastAsia="en-US"/>
              </w:rPr>
            </w:pPr>
            <w:r w:rsidRPr="00957B06">
              <w:rPr>
                <w:rFonts w:ascii="Times New Roman" w:eastAsia="Calibri" w:hAnsi="Times New Roman" w:cs="Times New Roman"/>
                <w:b/>
                <w:color w:val="000000"/>
                <w:sz w:val="22"/>
                <w:szCs w:val="22"/>
                <w:lang w:eastAsia="en-US"/>
              </w:rPr>
              <w:t xml:space="preserve">Certyfikacja dostępności </w:t>
            </w:r>
          </w:p>
          <w:p w14:paraId="3F512FCD" w14:textId="7933C1C1" w:rsidR="00DF1AB7" w:rsidRPr="00957B06" w:rsidRDefault="009E2BC8" w:rsidP="00610AA3">
            <w:pPr>
              <w:pStyle w:val="ARTartustawynprozporzdzenia"/>
              <w:spacing w:before="0" w:line="240" w:lineRule="auto"/>
              <w:ind w:firstLine="0"/>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 xml:space="preserve"> </w:t>
            </w:r>
            <w:r w:rsidR="009E687A" w:rsidRPr="00957B06">
              <w:rPr>
                <w:rFonts w:ascii="Times New Roman" w:eastAsia="Calibri" w:hAnsi="Times New Roman" w:cs="Times New Roman"/>
                <w:color w:val="000000"/>
                <w:sz w:val="22"/>
                <w:szCs w:val="22"/>
                <w:lang w:eastAsia="en-US"/>
              </w:rPr>
              <w:t>J</w:t>
            </w:r>
            <w:r w:rsidR="00DF1AB7" w:rsidRPr="00957B06">
              <w:rPr>
                <w:rFonts w:ascii="Times New Roman" w:eastAsia="Calibri" w:hAnsi="Times New Roman" w:cs="Times New Roman"/>
                <w:color w:val="000000"/>
                <w:sz w:val="22"/>
                <w:szCs w:val="22"/>
                <w:lang w:eastAsia="en-US"/>
              </w:rPr>
              <w:t>ednym z rozwiązań zaproponowanych w ustaw</w:t>
            </w:r>
            <w:r w:rsidR="006D6D9A" w:rsidRPr="00957B06">
              <w:rPr>
                <w:rFonts w:ascii="Times New Roman" w:eastAsia="Calibri" w:hAnsi="Times New Roman" w:cs="Times New Roman"/>
                <w:color w:val="000000"/>
                <w:sz w:val="22"/>
                <w:szCs w:val="22"/>
                <w:lang w:eastAsia="en-US"/>
              </w:rPr>
              <w:t>ie</w:t>
            </w:r>
            <w:r w:rsidR="00DF1AB7" w:rsidRPr="00957B06">
              <w:rPr>
                <w:rFonts w:ascii="Times New Roman" w:eastAsia="Calibri" w:hAnsi="Times New Roman" w:cs="Times New Roman"/>
                <w:color w:val="000000"/>
                <w:sz w:val="22"/>
                <w:szCs w:val="22"/>
                <w:lang w:eastAsia="en-US"/>
              </w:rPr>
              <w:t xml:space="preserve"> jest wprowadzenie </w:t>
            </w:r>
            <w:r w:rsidR="009E687A" w:rsidRPr="00957B06">
              <w:rPr>
                <w:rFonts w:ascii="Times New Roman" w:eastAsia="Calibri" w:hAnsi="Times New Roman" w:cs="Times New Roman"/>
                <w:color w:val="000000"/>
                <w:sz w:val="22"/>
                <w:szCs w:val="22"/>
                <w:lang w:eastAsia="en-US"/>
              </w:rPr>
              <w:t>mechanizmu</w:t>
            </w:r>
            <w:r w:rsidR="00DF1AB7" w:rsidRPr="00957B06">
              <w:rPr>
                <w:rFonts w:ascii="Times New Roman" w:eastAsia="Calibri" w:hAnsi="Times New Roman" w:cs="Times New Roman"/>
                <w:color w:val="000000"/>
                <w:sz w:val="22"/>
                <w:szCs w:val="22"/>
                <w:lang w:eastAsia="en-US"/>
              </w:rPr>
              <w:t xml:space="preserve"> certyfikacji dostępności. </w:t>
            </w:r>
            <w:r w:rsidR="009E687A" w:rsidRPr="00957B06">
              <w:rPr>
                <w:rFonts w:ascii="Times New Roman" w:eastAsia="Calibri" w:hAnsi="Times New Roman" w:cs="Times New Roman"/>
                <w:color w:val="000000"/>
                <w:sz w:val="22"/>
                <w:szCs w:val="22"/>
                <w:lang w:eastAsia="en-US"/>
              </w:rPr>
              <w:t>I</w:t>
            </w:r>
            <w:r w:rsidR="00DF1AB7" w:rsidRPr="00957B06">
              <w:rPr>
                <w:rFonts w:ascii="Times New Roman" w:eastAsia="Calibri" w:hAnsi="Times New Roman" w:cs="Times New Roman"/>
                <w:color w:val="000000"/>
                <w:sz w:val="22"/>
                <w:szCs w:val="22"/>
                <w:lang w:eastAsia="en-US"/>
              </w:rPr>
              <w:t xml:space="preserve">nstrument jest skierowany wyłącznie do podmiotów prywatnych i organizacji pozarządowych i ma na celu potwierdzenie na podstawie przeprowadzonego audytu, czy dany podmiot zapewnia dostępność siedziby czy usług osobom ze szczególnymi potrzebami. </w:t>
            </w:r>
            <w:r w:rsidR="00CB4064" w:rsidRPr="00957B06">
              <w:rPr>
                <w:rFonts w:ascii="Times New Roman" w:eastAsia="Calibri" w:hAnsi="Times New Roman" w:cs="Times New Roman"/>
                <w:color w:val="000000"/>
                <w:sz w:val="22"/>
                <w:szCs w:val="22"/>
                <w:lang w:eastAsia="en-US"/>
              </w:rPr>
              <w:t xml:space="preserve">Instrument stanowi zachętę dla przedsiębiorców i umożliwia obniżenie o 5% wpłat na Państwowy Fundusz Rehabilitacji Osób Niepełnosprawnych </w:t>
            </w:r>
            <w:r w:rsidR="00DF1AB7" w:rsidRPr="00957B06">
              <w:rPr>
                <w:rFonts w:ascii="Times New Roman" w:eastAsia="Calibri" w:hAnsi="Times New Roman" w:cs="Times New Roman"/>
                <w:color w:val="000000"/>
                <w:sz w:val="22"/>
                <w:szCs w:val="22"/>
                <w:lang w:eastAsia="en-US"/>
              </w:rPr>
              <w:t xml:space="preserve">(dotyczy podmiotów do tego zobowiązanych przepisami odrębnymi) jako sankcja za nieosiąganie 6% wskaźnika zatrudnienia osób niepełnosprawnych.  </w:t>
            </w:r>
          </w:p>
          <w:p w14:paraId="28A391FB" w14:textId="77777777" w:rsidR="00DF1AB7" w:rsidRPr="00957B06" w:rsidRDefault="00DF1AB7" w:rsidP="004F013E">
            <w:pPr>
              <w:pStyle w:val="ARTartustawynprozporzdzenia"/>
              <w:numPr>
                <w:ilvl w:val="0"/>
                <w:numId w:val="3"/>
              </w:numPr>
              <w:spacing w:before="0" w:after="120" w:line="240" w:lineRule="auto"/>
              <w:jc w:val="left"/>
              <w:rPr>
                <w:rFonts w:ascii="Times New Roman" w:eastAsia="Calibri" w:hAnsi="Times New Roman" w:cs="Times New Roman"/>
                <w:b/>
                <w:color w:val="000000"/>
                <w:sz w:val="22"/>
                <w:szCs w:val="22"/>
                <w:lang w:eastAsia="en-US"/>
              </w:rPr>
            </w:pPr>
            <w:r w:rsidRPr="00957B06">
              <w:rPr>
                <w:rFonts w:ascii="Times New Roman" w:eastAsia="Calibri" w:hAnsi="Times New Roman" w:cs="Times New Roman"/>
                <w:b/>
                <w:color w:val="000000"/>
                <w:sz w:val="22"/>
                <w:szCs w:val="22"/>
                <w:lang w:eastAsia="en-US"/>
              </w:rPr>
              <w:lastRenderedPageBreak/>
              <w:t xml:space="preserve">Postępowanie skargowe </w:t>
            </w:r>
          </w:p>
          <w:p w14:paraId="5316B0E5" w14:textId="2953FCFB" w:rsidR="00DF1AB7" w:rsidRPr="00957B06" w:rsidRDefault="009E687A" w:rsidP="00610AA3">
            <w:pPr>
              <w:pStyle w:val="ARTartustawynprozporzdzenia"/>
              <w:spacing w:before="0" w:line="240" w:lineRule="auto"/>
              <w:ind w:firstLine="0"/>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Ustawa wprowadziła</w:t>
            </w:r>
            <w:r w:rsidR="00DF1AB7" w:rsidRPr="00957B06">
              <w:rPr>
                <w:rFonts w:ascii="Times New Roman" w:eastAsia="Calibri" w:hAnsi="Times New Roman" w:cs="Times New Roman"/>
                <w:color w:val="000000"/>
                <w:sz w:val="22"/>
                <w:szCs w:val="22"/>
                <w:lang w:eastAsia="en-US"/>
              </w:rPr>
              <w:t xml:space="preserve"> możliwość zgłoszenia skargi na brak dostępności podmiotu publicznego. Każda osoba jest uprawniona do poinformowania o braku dostępności. Natomiast każda osoba ze szczególnymi potrzebami lub jej przedstawiciel ustawowy, ma prawo wystąpić do podmiotu publicznego z wnioskiem o zapewnienie dostępności architektonicznej </w:t>
            </w:r>
            <w:r w:rsidR="00312F00" w:rsidRPr="00957B06">
              <w:rPr>
                <w:rFonts w:ascii="Times New Roman" w:eastAsia="Calibri" w:hAnsi="Times New Roman" w:cs="Times New Roman"/>
                <w:color w:val="000000"/>
                <w:sz w:val="22"/>
                <w:szCs w:val="22"/>
                <w:lang w:eastAsia="en-US"/>
              </w:rPr>
              <w:t>i/</w:t>
            </w:r>
            <w:r w:rsidR="00DF1AB7" w:rsidRPr="00957B06">
              <w:rPr>
                <w:rFonts w:ascii="Times New Roman" w:eastAsia="Calibri" w:hAnsi="Times New Roman" w:cs="Times New Roman"/>
                <w:color w:val="000000"/>
                <w:sz w:val="22"/>
                <w:szCs w:val="22"/>
                <w:lang w:eastAsia="en-US"/>
              </w:rPr>
              <w:t xml:space="preserve">lub informacyjno-komunikacyjnej. W przypadku, gdy podmiot nie zapewni wnioskodawcy dostępności, </w:t>
            </w:r>
            <w:r w:rsidR="006D6D9A" w:rsidRPr="00957B06">
              <w:rPr>
                <w:rFonts w:ascii="Times New Roman" w:eastAsia="Calibri" w:hAnsi="Times New Roman" w:cs="Times New Roman"/>
                <w:color w:val="000000"/>
                <w:sz w:val="22"/>
                <w:szCs w:val="22"/>
                <w:lang w:eastAsia="en-US"/>
              </w:rPr>
              <w:t>ma on</w:t>
            </w:r>
            <w:r w:rsidR="00DF1AB7" w:rsidRPr="00957B06">
              <w:rPr>
                <w:rFonts w:ascii="Times New Roman" w:eastAsia="Calibri" w:hAnsi="Times New Roman" w:cs="Times New Roman"/>
                <w:color w:val="000000"/>
                <w:sz w:val="22"/>
                <w:szCs w:val="22"/>
                <w:lang w:eastAsia="en-US"/>
              </w:rPr>
              <w:t xml:space="preserve"> prawo </w:t>
            </w:r>
            <w:r w:rsidR="00CB4064" w:rsidRPr="00957B06">
              <w:rPr>
                <w:rFonts w:ascii="Times New Roman" w:eastAsia="Calibri" w:hAnsi="Times New Roman" w:cs="Times New Roman"/>
                <w:color w:val="000000"/>
                <w:sz w:val="22"/>
                <w:szCs w:val="22"/>
                <w:lang w:eastAsia="en-US"/>
              </w:rPr>
              <w:t xml:space="preserve">złożyć do </w:t>
            </w:r>
            <w:r w:rsidR="00DF1AB7" w:rsidRPr="00957B06">
              <w:rPr>
                <w:rFonts w:ascii="Times New Roman" w:eastAsia="Calibri" w:hAnsi="Times New Roman" w:cs="Times New Roman"/>
                <w:color w:val="000000"/>
                <w:sz w:val="22"/>
                <w:szCs w:val="22"/>
                <w:lang w:eastAsia="en-US"/>
              </w:rPr>
              <w:t xml:space="preserve">PFRON skargi na brak dostępności. Pozytywne rozpatrzenie skargi skutkuje nakazem zapewnienia dostępności w określony sposób. </w:t>
            </w:r>
            <w:r w:rsidR="00895218" w:rsidRPr="00957B06">
              <w:rPr>
                <w:rFonts w:ascii="Times New Roman" w:eastAsia="Calibri" w:hAnsi="Times New Roman" w:cs="Times New Roman"/>
                <w:color w:val="000000"/>
                <w:sz w:val="22"/>
                <w:szCs w:val="22"/>
                <w:lang w:eastAsia="en-US"/>
              </w:rPr>
              <w:t>B</w:t>
            </w:r>
            <w:r w:rsidR="00DF1AB7" w:rsidRPr="00957B06">
              <w:rPr>
                <w:rFonts w:ascii="Times New Roman" w:eastAsia="Calibri" w:hAnsi="Times New Roman" w:cs="Times New Roman"/>
                <w:color w:val="000000"/>
                <w:sz w:val="22"/>
                <w:szCs w:val="22"/>
                <w:lang w:eastAsia="en-US"/>
              </w:rPr>
              <w:t xml:space="preserve">rak realizacji nakazu może skutkować nałożeniem </w:t>
            </w:r>
            <w:r w:rsidR="00CB4064" w:rsidRPr="00957B06">
              <w:rPr>
                <w:rFonts w:ascii="Times New Roman" w:eastAsia="Calibri" w:hAnsi="Times New Roman" w:cs="Times New Roman"/>
                <w:color w:val="000000"/>
                <w:sz w:val="22"/>
                <w:szCs w:val="22"/>
                <w:lang w:eastAsia="en-US"/>
              </w:rPr>
              <w:t>grzywny</w:t>
            </w:r>
            <w:r w:rsidR="00DF1AB7" w:rsidRPr="00957B06">
              <w:rPr>
                <w:rFonts w:ascii="Times New Roman" w:eastAsia="Calibri" w:hAnsi="Times New Roman" w:cs="Times New Roman"/>
                <w:color w:val="000000"/>
                <w:sz w:val="22"/>
                <w:szCs w:val="22"/>
                <w:lang w:eastAsia="en-US"/>
              </w:rPr>
              <w:t xml:space="preserve">. </w:t>
            </w:r>
          </w:p>
          <w:p w14:paraId="288D21DA" w14:textId="77777777" w:rsidR="00DF1AB7" w:rsidRPr="00957B06" w:rsidRDefault="00DF1AB7" w:rsidP="004F013E">
            <w:pPr>
              <w:pStyle w:val="ARTartustawynprozporzdzenia"/>
              <w:numPr>
                <w:ilvl w:val="0"/>
                <w:numId w:val="3"/>
              </w:numPr>
              <w:tabs>
                <w:tab w:val="left" w:pos="5"/>
              </w:tabs>
              <w:spacing w:before="0" w:after="120" w:line="240" w:lineRule="auto"/>
              <w:ind w:left="5" w:firstLine="355"/>
              <w:jc w:val="left"/>
              <w:rPr>
                <w:rFonts w:ascii="Times New Roman" w:eastAsia="Calibri" w:hAnsi="Times New Roman" w:cs="Times New Roman"/>
                <w:b/>
                <w:color w:val="000000"/>
                <w:sz w:val="22"/>
                <w:szCs w:val="22"/>
                <w:lang w:eastAsia="en-US"/>
              </w:rPr>
            </w:pPr>
            <w:r w:rsidRPr="00957B06">
              <w:rPr>
                <w:rFonts w:ascii="Times New Roman" w:eastAsia="Calibri" w:hAnsi="Times New Roman" w:cs="Times New Roman"/>
                <w:b/>
                <w:color w:val="000000"/>
                <w:sz w:val="22"/>
                <w:szCs w:val="22"/>
                <w:lang w:eastAsia="en-US"/>
              </w:rPr>
              <w:t>Fundusz Dostępności</w:t>
            </w:r>
          </w:p>
          <w:p w14:paraId="495867CF" w14:textId="1953DAA6" w:rsidR="00DF1AB7" w:rsidRPr="00957B06" w:rsidRDefault="00DF1AB7" w:rsidP="00610AA3">
            <w:pPr>
              <w:pStyle w:val="ARTartustawynprozporzdzenia"/>
              <w:spacing w:before="0" w:line="240" w:lineRule="auto"/>
              <w:ind w:firstLine="0"/>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 xml:space="preserve">Na podstawie zapisów ustawy </w:t>
            </w:r>
            <w:r w:rsidR="009E687A" w:rsidRPr="00957B06">
              <w:rPr>
                <w:rFonts w:ascii="Times New Roman" w:eastAsia="Calibri" w:hAnsi="Times New Roman" w:cs="Times New Roman"/>
                <w:color w:val="000000"/>
                <w:sz w:val="22"/>
                <w:szCs w:val="22"/>
                <w:lang w:eastAsia="en-US"/>
              </w:rPr>
              <w:t>u</w:t>
            </w:r>
            <w:r w:rsidRPr="00957B06">
              <w:rPr>
                <w:rFonts w:ascii="Times New Roman" w:eastAsia="Calibri" w:hAnsi="Times New Roman" w:cs="Times New Roman"/>
                <w:color w:val="000000"/>
                <w:sz w:val="22"/>
                <w:szCs w:val="22"/>
                <w:lang w:eastAsia="en-US"/>
              </w:rPr>
              <w:t>tworz</w:t>
            </w:r>
            <w:r w:rsidR="009E687A" w:rsidRPr="00957B06">
              <w:rPr>
                <w:rFonts w:ascii="Times New Roman" w:eastAsia="Calibri" w:hAnsi="Times New Roman" w:cs="Times New Roman"/>
                <w:color w:val="000000"/>
                <w:sz w:val="22"/>
                <w:szCs w:val="22"/>
                <w:lang w:eastAsia="en-US"/>
              </w:rPr>
              <w:t>ono</w:t>
            </w:r>
            <w:r w:rsidRPr="00957B06">
              <w:rPr>
                <w:rFonts w:ascii="Times New Roman" w:eastAsia="Calibri" w:hAnsi="Times New Roman" w:cs="Times New Roman"/>
                <w:color w:val="000000"/>
                <w:sz w:val="22"/>
                <w:szCs w:val="22"/>
                <w:lang w:eastAsia="en-US"/>
              </w:rPr>
              <w:t xml:space="preserve"> </w:t>
            </w:r>
            <w:r w:rsidR="009E687A" w:rsidRPr="00957B06">
              <w:rPr>
                <w:rFonts w:ascii="Times New Roman" w:eastAsia="Calibri" w:hAnsi="Times New Roman" w:cs="Times New Roman"/>
                <w:color w:val="000000"/>
                <w:sz w:val="22"/>
                <w:szCs w:val="22"/>
                <w:lang w:eastAsia="en-US"/>
              </w:rPr>
              <w:t>F</w:t>
            </w:r>
            <w:r w:rsidRPr="00957B06">
              <w:rPr>
                <w:rFonts w:ascii="Times New Roman" w:eastAsia="Calibri" w:hAnsi="Times New Roman" w:cs="Times New Roman"/>
                <w:color w:val="000000"/>
                <w:sz w:val="22"/>
                <w:szCs w:val="22"/>
                <w:lang w:eastAsia="en-US"/>
              </w:rPr>
              <w:t xml:space="preserve">undusz Dostępności. Głównym przeznaczeniem Funduszu </w:t>
            </w:r>
            <w:r w:rsidR="009E687A" w:rsidRPr="00957B06">
              <w:rPr>
                <w:rFonts w:ascii="Times New Roman" w:eastAsia="Calibri" w:hAnsi="Times New Roman" w:cs="Times New Roman"/>
                <w:color w:val="000000"/>
                <w:sz w:val="22"/>
                <w:szCs w:val="22"/>
                <w:lang w:eastAsia="en-US"/>
              </w:rPr>
              <w:t xml:space="preserve">jest </w:t>
            </w:r>
            <w:r w:rsidRPr="00957B06">
              <w:rPr>
                <w:rFonts w:ascii="Times New Roman" w:eastAsia="Calibri" w:hAnsi="Times New Roman" w:cs="Times New Roman"/>
                <w:color w:val="000000"/>
                <w:sz w:val="22"/>
                <w:szCs w:val="22"/>
                <w:lang w:eastAsia="en-US"/>
              </w:rPr>
              <w:t xml:space="preserve">udzielanie </w:t>
            </w:r>
            <w:r w:rsidR="009E687A" w:rsidRPr="00957B06">
              <w:rPr>
                <w:rFonts w:ascii="Times New Roman" w:eastAsia="Calibri" w:hAnsi="Times New Roman" w:cs="Times New Roman"/>
                <w:color w:val="000000"/>
                <w:sz w:val="22"/>
                <w:szCs w:val="22"/>
                <w:lang w:eastAsia="en-US"/>
              </w:rPr>
              <w:t>pożyczek</w:t>
            </w:r>
            <w:r w:rsidR="00895218" w:rsidRPr="00957B06">
              <w:rPr>
                <w:rFonts w:ascii="Times New Roman" w:eastAsia="Calibri" w:hAnsi="Times New Roman" w:cs="Times New Roman"/>
                <w:color w:val="000000"/>
                <w:sz w:val="22"/>
                <w:szCs w:val="22"/>
                <w:lang w:eastAsia="en-US"/>
              </w:rPr>
              <w:t xml:space="preserve"> z</w:t>
            </w:r>
            <w:r w:rsidR="009E687A" w:rsidRPr="00957B06">
              <w:rPr>
                <w:rFonts w:ascii="Times New Roman" w:eastAsia="Calibri" w:hAnsi="Times New Roman" w:cs="Times New Roman"/>
                <w:color w:val="000000"/>
                <w:sz w:val="22"/>
                <w:szCs w:val="22"/>
                <w:lang w:eastAsia="en-US"/>
              </w:rPr>
              <w:t xml:space="preserve"> </w:t>
            </w:r>
            <w:r w:rsidRPr="00957B06">
              <w:rPr>
                <w:rFonts w:ascii="Times New Roman" w:eastAsia="Calibri" w:hAnsi="Times New Roman" w:cs="Times New Roman"/>
                <w:color w:val="000000"/>
                <w:sz w:val="22"/>
                <w:szCs w:val="22"/>
                <w:lang w:eastAsia="en-US"/>
              </w:rPr>
              <w:t xml:space="preserve">przeznaczeniem na dostosowanie budynków użyteczności publicznej oraz budynków mieszkalnictwa wielorodzinnego do potrzeb osób ze szczególnymi potrzebami. Wsparcie </w:t>
            </w:r>
            <w:r w:rsidR="009E687A" w:rsidRPr="00957B06">
              <w:rPr>
                <w:rFonts w:ascii="Times New Roman" w:eastAsia="Calibri" w:hAnsi="Times New Roman" w:cs="Times New Roman"/>
                <w:color w:val="000000"/>
                <w:sz w:val="22"/>
                <w:szCs w:val="22"/>
                <w:lang w:eastAsia="en-US"/>
              </w:rPr>
              <w:t>udz</w:t>
            </w:r>
            <w:r w:rsidRPr="00957B06">
              <w:rPr>
                <w:rFonts w:ascii="Times New Roman" w:eastAsia="Calibri" w:hAnsi="Times New Roman" w:cs="Times New Roman"/>
                <w:color w:val="000000"/>
                <w:sz w:val="22"/>
                <w:szCs w:val="22"/>
                <w:lang w:eastAsia="en-US"/>
              </w:rPr>
              <w:t>ielane</w:t>
            </w:r>
            <w:r w:rsidR="009E687A" w:rsidRPr="00957B06">
              <w:rPr>
                <w:rFonts w:ascii="Times New Roman" w:eastAsia="Calibri" w:hAnsi="Times New Roman" w:cs="Times New Roman"/>
                <w:color w:val="000000"/>
                <w:sz w:val="22"/>
                <w:szCs w:val="22"/>
                <w:lang w:eastAsia="en-US"/>
              </w:rPr>
              <w:t xml:space="preserve"> jest </w:t>
            </w:r>
            <w:r w:rsidRPr="00957B06">
              <w:rPr>
                <w:rFonts w:ascii="Times New Roman" w:eastAsia="Calibri" w:hAnsi="Times New Roman" w:cs="Times New Roman"/>
                <w:color w:val="000000"/>
                <w:sz w:val="22"/>
                <w:szCs w:val="22"/>
                <w:lang w:eastAsia="en-US"/>
              </w:rPr>
              <w:t>w formie pożyczki lub kredytu bankowego (z możliwością częściowego umorzenia) lub dotacji na częściową spłatę kapitału i odsetek od pożyczek i kredytów bankowych udzielanych ze środków innych niż środki Funduszu.</w:t>
            </w:r>
          </w:p>
          <w:p w14:paraId="5F935234" w14:textId="77777777" w:rsidR="00DF1AB7" w:rsidRPr="00957B06" w:rsidRDefault="00DF1AB7" w:rsidP="004F013E">
            <w:pPr>
              <w:pStyle w:val="ARTartustawynprozporzdzenia"/>
              <w:numPr>
                <w:ilvl w:val="0"/>
                <w:numId w:val="3"/>
              </w:numPr>
              <w:spacing w:before="0" w:after="120" w:line="240" w:lineRule="auto"/>
              <w:jc w:val="left"/>
              <w:rPr>
                <w:rFonts w:ascii="Times New Roman" w:eastAsia="Calibri" w:hAnsi="Times New Roman" w:cs="Times New Roman"/>
                <w:b/>
                <w:color w:val="000000"/>
                <w:sz w:val="22"/>
                <w:szCs w:val="22"/>
                <w:lang w:eastAsia="en-US"/>
              </w:rPr>
            </w:pPr>
            <w:r w:rsidRPr="00957B06">
              <w:rPr>
                <w:rFonts w:ascii="Times New Roman" w:eastAsia="Calibri" w:hAnsi="Times New Roman" w:cs="Times New Roman"/>
                <w:b/>
                <w:color w:val="000000"/>
                <w:sz w:val="22"/>
                <w:szCs w:val="22"/>
                <w:lang w:eastAsia="en-US"/>
              </w:rPr>
              <w:t xml:space="preserve">Zmiany w przepisach </w:t>
            </w:r>
          </w:p>
          <w:p w14:paraId="313F71C9" w14:textId="57377AD6" w:rsidR="009C15F8" w:rsidRPr="00957B06" w:rsidRDefault="00895218" w:rsidP="004D7BB1">
            <w:pPr>
              <w:pStyle w:val="ARTartustawynprozporzdzenia"/>
              <w:spacing w:before="0" w:after="120" w:line="240" w:lineRule="auto"/>
              <w:ind w:firstLine="0"/>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U</w:t>
            </w:r>
            <w:r w:rsidR="00DF1AB7" w:rsidRPr="00957B06">
              <w:rPr>
                <w:rFonts w:ascii="Times New Roman" w:eastAsia="Calibri" w:hAnsi="Times New Roman" w:cs="Times New Roman"/>
                <w:color w:val="000000"/>
                <w:sz w:val="22"/>
                <w:szCs w:val="22"/>
                <w:lang w:eastAsia="en-US"/>
              </w:rPr>
              <w:t>stawa wprowadz</w:t>
            </w:r>
            <w:r w:rsidR="004D7BB1" w:rsidRPr="00957B06">
              <w:rPr>
                <w:rFonts w:ascii="Times New Roman" w:eastAsia="Calibri" w:hAnsi="Times New Roman" w:cs="Times New Roman"/>
                <w:color w:val="000000"/>
                <w:sz w:val="22"/>
                <w:szCs w:val="22"/>
                <w:lang w:eastAsia="en-US"/>
              </w:rPr>
              <w:t>iła</w:t>
            </w:r>
            <w:r w:rsidR="00DF1AB7" w:rsidRPr="00957B06">
              <w:rPr>
                <w:rFonts w:ascii="Times New Roman" w:eastAsia="Calibri" w:hAnsi="Times New Roman" w:cs="Times New Roman"/>
                <w:color w:val="000000"/>
                <w:sz w:val="22"/>
                <w:szCs w:val="22"/>
                <w:lang w:eastAsia="en-US"/>
              </w:rPr>
              <w:t xml:space="preserve"> </w:t>
            </w:r>
            <w:r w:rsidR="00EC592E" w:rsidRPr="00957B06">
              <w:rPr>
                <w:rFonts w:ascii="Times New Roman" w:eastAsia="Calibri" w:hAnsi="Times New Roman" w:cs="Times New Roman"/>
                <w:color w:val="000000"/>
                <w:sz w:val="22"/>
                <w:szCs w:val="22"/>
                <w:lang w:eastAsia="en-US"/>
              </w:rPr>
              <w:t xml:space="preserve">szereg zmian </w:t>
            </w:r>
            <w:r w:rsidR="00DF1AB7" w:rsidRPr="00957B06">
              <w:rPr>
                <w:rFonts w:ascii="Times New Roman" w:eastAsia="Calibri" w:hAnsi="Times New Roman" w:cs="Times New Roman"/>
                <w:color w:val="000000"/>
                <w:sz w:val="22"/>
                <w:szCs w:val="22"/>
                <w:lang w:eastAsia="en-US"/>
              </w:rPr>
              <w:t xml:space="preserve"> do obowiązujących ustaw. Dzięki temu stosowane jest nie tylko podejście horyzontalne ale również </w:t>
            </w:r>
            <w:r w:rsidR="00EC592E" w:rsidRPr="00957B06">
              <w:rPr>
                <w:rFonts w:ascii="Times New Roman" w:eastAsia="Calibri" w:hAnsi="Times New Roman" w:cs="Times New Roman"/>
                <w:color w:val="000000"/>
                <w:sz w:val="22"/>
                <w:szCs w:val="22"/>
                <w:lang w:eastAsia="en-US"/>
              </w:rPr>
              <w:t>dedykowane</w:t>
            </w:r>
            <w:r w:rsidR="00DF1AB7" w:rsidRPr="00957B06">
              <w:rPr>
                <w:rFonts w:ascii="Times New Roman" w:eastAsia="Calibri" w:hAnsi="Times New Roman" w:cs="Times New Roman"/>
                <w:color w:val="000000"/>
                <w:sz w:val="22"/>
                <w:szCs w:val="22"/>
                <w:lang w:eastAsia="en-US"/>
              </w:rPr>
              <w:t xml:space="preserve"> (punktowe) do procesu uzupełniania polityk publicznych o kwestie dostępności. Zaproponowane w projekcie ustawy zmiany dotyczą wybranych ustaw</w:t>
            </w:r>
            <w:r w:rsidR="004D7BB1" w:rsidRPr="00957B06">
              <w:rPr>
                <w:rFonts w:ascii="Times New Roman" w:eastAsia="Calibri" w:hAnsi="Times New Roman" w:cs="Times New Roman"/>
                <w:color w:val="000000"/>
                <w:sz w:val="22"/>
                <w:szCs w:val="22"/>
                <w:lang w:eastAsia="en-US"/>
              </w:rPr>
              <w:t>.</w:t>
            </w:r>
          </w:p>
          <w:p w14:paraId="5B48A0C1" w14:textId="77777777" w:rsidR="00E06656" w:rsidRPr="00957B06" w:rsidRDefault="00E06656" w:rsidP="004F013E">
            <w:pPr>
              <w:pStyle w:val="ARTartustawynprozporzdzenia"/>
              <w:numPr>
                <w:ilvl w:val="0"/>
                <w:numId w:val="4"/>
              </w:numPr>
              <w:spacing w:after="120" w:line="240" w:lineRule="auto"/>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 xml:space="preserve">Ustawa z dnia 8 marca 1990 r. o samorządzie gminnym (Dz. U. z 2019 r. poz. 506). </w:t>
            </w:r>
          </w:p>
          <w:p w14:paraId="23F90B76" w14:textId="77777777" w:rsidR="00E06656" w:rsidRPr="00957B06" w:rsidRDefault="00E06656" w:rsidP="004F013E">
            <w:pPr>
              <w:pStyle w:val="ARTartustawynprozporzdzenia"/>
              <w:numPr>
                <w:ilvl w:val="0"/>
                <w:numId w:val="4"/>
              </w:numPr>
              <w:spacing w:after="120" w:line="240" w:lineRule="auto"/>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 xml:space="preserve">Ustawa z dnia 25 października 1991 r. o organizowaniu i prowadzeniu działalności kulturalnej (Dz. U. z 2018 r. poz. 1983 oraz z 2019 r. poz. 115 i 730). </w:t>
            </w:r>
          </w:p>
          <w:p w14:paraId="5E846847" w14:textId="77777777" w:rsidR="00E06656" w:rsidRPr="00957B06" w:rsidRDefault="00E06656" w:rsidP="004F013E">
            <w:pPr>
              <w:pStyle w:val="ARTartustawynprozporzdzenia"/>
              <w:numPr>
                <w:ilvl w:val="0"/>
                <w:numId w:val="4"/>
              </w:numPr>
              <w:spacing w:after="120" w:line="240" w:lineRule="auto"/>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 xml:space="preserve">Ustawa z dnia 7 lipca 1994 r. Prawo budowlane (Dz. U. z 2018 r. poz. 1202, z </w:t>
            </w:r>
            <w:proofErr w:type="spellStart"/>
            <w:r w:rsidRPr="00957B06">
              <w:rPr>
                <w:rFonts w:ascii="Times New Roman" w:eastAsia="Calibri" w:hAnsi="Times New Roman" w:cs="Times New Roman"/>
                <w:color w:val="000000"/>
                <w:sz w:val="22"/>
                <w:szCs w:val="22"/>
                <w:lang w:eastAsia="en-US"/>
              </w:rPr>
              <w:t>późn</w:t>
            </w:r>
            <w:proofErr w:type="spellEnd"/>
            <w:r w:rsidRPr="00957B06">
              <w:rPr>
                <w:rFonts w:ascii="Times New Roman" w:eastAsia="Calibri" w:hAnsi="Times New Roman" w:cs="Times New Roman"/>
                <w:color w:val="000000"/>
                <w:sz w:val="22"/>
                <w:szCs w:val="22"/>
                <w:lang w:eastAsia="en-US"/>
              </w:rPr>
              <w:t xml:space="preserve">. </w:t>
            </w:r>
            <w:proofErr w:type="spellStart"/>
            <w:r w:rsidRPr="00957B06">
              <w:rPr>
                <w:rFonts w:ascii="Times New Roman" w:eastAsia="Calibri" w:hAnsi="Times New Roman" w:cs="Times New Roman"/>
                <w:color w:val="000000"/>
                <w:sz w:val="22"/>
                <w:szCs w:val="22"/>
                <w:lang w:eastAsia="en-US"/>
              </w:rPr>
              <w:t>zm</w:t>
            </w:r>
            <w:proofErr w:type="spellEnd"/>
            <w:r w:rsidRPr="00467BD3">
              <w:rPr>
                <w:rStyle w:val="Odwoanieprzypisudolnego"/>
                <w:rFonts w:ascii="Times New Roman" w:eastAsia="Calibri" w:hAnsi="Times New Roman" w:cs="Times New Roman"/>
                <w:color w:val="000000"/>
                <w:sz w:val="22"/>
                <w:szCs w:val="22"/>
                <w:lang w:eastAsia="en-US"/>
              </w:rPr>
              <w:footnoteReference w:id="1"/>
            </w:r>
            <w:r w:rsidRPr="00467BD3">
              <w:rPr>
                <w:rFonts w:ascii="Times New Roman" w:eastAsia="Calibri" w:hAnsi="Times New Roman" w:cs="Times New Roman"/>
                <w:color w:val="000000"/>
                <w:sz w:val="22"/>
                <w:szCs w:val="22"/>
                <w:lang w:eastAsia="en-US"/>
              </w:rPr>
              <w:t>).</w:t>
            </w:r>
          </w:p>
          <w:p w14:paraId="083F0800" w14:textId="47D130F9" w:rsidR="00E06656" w:rsidRPr="00957B06" w:rsidRDefault="00E06656" w:rsidP="004F013E">
            <w:pPr>
              <w:pStyle w:val="ARTartustawynprozporzdzenia"/>
              <w:numPr>
                <w:ilvl w:val="0"/>
                <w:numId w:val="4"/>
              </w:numPr>
              <w:spacing w:after="120" w:line="240" w:lineRule="auto"/>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 xml:space="preserve">Ustawa z dnia 27 sierpnia 1997 r. o rehabilitacji zawodowej i społecznej oraz zatrudnianiu osób niepełnosprawnych </w:t>
            </w:r>
            <w:r w:rsidR="002C1BFA" w:rsidRPr="00957B06">
              <w:t xml:space="preserve">(Dz. U. z 2025 r. poz. 913, z </w:t>
            </w:r>
            <w:proofErr w:type="spellStart"/>
            <w:r w:rsidR="002C1BFA" w:rsidRPr="00957B06">
              <w:t>późn</w:t>
            </w:r>
            <w:proofErr w:type="spellEnd"/>
            <w:r w:rsidR="002C1BFA" w:rsidRPr="00957B06">
              <w:t>. zm.)</w:t>
            </w:r>
            <w:r w:rsidR="002C1BFA" w:rsidRPr="00957B06">
              <w:rPr>
                <w:rFonts w:ascii="Times New Roman" w:eastAsia="Calibri" w:hAnsi="Times New Roman" w:cs="Times New Roman"/>
                <w:color w:val="000000"/>
                <w:sz w:val="22"/>
                <w:szCs w:val="22"/>
                <w:lang w:eastAsia="en-US"/>
              </w:rPr>
              <w:t>.</w:t>
            </w:r>
          </w:p>
          <w:p w14:paraId="0D197AF2" w14:textId="77777777" w:rsidR="00E06656" w:rsidRPr="00957B06" w:rsidRDefault="00E06656" w:rsidP="004F013E">
            <w:pPr>
              <w:pStyle w:val="ARTartustawynprozporzdzenia"/>
              <w:numPr>
                <w:ilvl w:val="0"/>
                <w:numId w:val="4"/>
              </w:numPr>
              <w:spacing w:after="120" w:line="240" w:lineRule="auto"/>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 xml:space="preserve">Ustawa z dnia 29 sierpnia 1997 r. - Prawo bankowe (Dz. U. z 2018 r. poz. 2187, z </w:t>
            </w:r>
            <w:proofErr w:type="spellStart"/>
            <w:r w:rsidRPr="00957B06">
              <w:rPr>
                <w:rFonts w:ascii="Times New Roman" w:eastAsia="Calibri" w:hAnsi="Times New Roman" w:cs="Times New Roman"/>
                <w:color w:val="000000"/>
                <w:sz w:val="22"/>
                <w:szCs w:val="22"/>
                <w:lang w:eastAsia="en-US"/>
              </w:rPr>
              <w:t>późn</w:t>
            </w:r>
            <w:proofErr w:type="spellEnd"/>
            <w:r w:rsidRPr="00957B06">
              <w:rPr>
                <w:rFonts w:ascii="Times New Roman" w:eastAsia="Calibri" w:hAnsi="Times New Roman" w:cs="Times New Roman"/>
                <w:color w:val="000000"/>
                <w:sz w:val="22"/>
                <w:szCs w:val="22"/>
                <w:lang w:eastAsia="en-US"/>
              </w:rPr>
              <w:t>. zm.</w:t>
            </w:r>
            <w:r w:rsidRPr="00467BD3">
              <w:rPr>
                <w:rStyle w:val="Odwoanieprzypisudolnego"/>
                <w:rFonts w:ascii="Times New Roman" w:eastAsia="Calibri" w:hAnsi="Times New Roman" w:cs="Times New Roman"/>
                <w:color w:val="000000"/>
                <w:sz w:val="22"/>
                <w:szCs w:val="22"/>
                <w:lang w:eastAsia="en-US"/>
              </w:rPr>
              <w:footnoteReference w:id="2"/>
            </w:r>
            <w:r w:rsidRPr="00467BD3">
              <w:rPr>
                <w:rFonts w:ascii="Times New Roman" w:eastAsia="Calibri" w:hAnsi="Times New Roman" w:cs="Times New Roman"/>
                <w:color w:val="000000"/>
                <w:sz w:val="22"/>
                <w:szCs w:val="22"/>
                <w:lang w:eastAsia="en-US"/>
              </w:rPr>
              <w:t xml:space="preserve">). </w:t>
            </w:r>
          </w:p>
          <w:p w14:paraId="7DFE283F" w14:textId="77777777" w:rsidR="00E06656" w:rsidRPr="00957B06" w:rsidRDefault="00E06656" w:rsidP="004F013E">
            <w:pPr>
              <w:pStyle w:val="ARTartustawynprozporzdzenia"/>
              <w:numPr>
                <w:ilvl w:val="0"/>
                <w:numId w:val="4"/>
              </w:numPr>
              <w:spacing w:after="120" w:line="240" w:lineRule="auto"/>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 xml:space="preserve">Ustawa z dnia 4 września 1997 r. o działach administracji rządowej (Dz. U. z 2019 r. poz. 945). </w:t>
            </w:r>
          </w:p>
          <w:p w14:paraId="73D1D577" w14:textId="77777777" w:rsidR="00E06656" w:rsidRPr="00957B06" w:rsidRDefault="00E06656" w:rsidP="004F013E">
            <w:pPr>
              <w:pStyle w:val="ARTartustawynprozporzdzenia"/>
              <w:numPr>
                <w:ilvl w:val="0"/>
                <w:numId w:val="4"/>
              </w:numPr>
              <w:spacing w:after="120" w:line="240" w:lineRule="auto"/>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 xml:space="preserve">Ustawa z dnia 27 marca 2003 r. o planowaniu i zagospodarowaniu przestrzennym (Dz. U. z 2018 r. poz. 1945 oraz z 2019 r. poz. 60, 235, 730 i 1009).  </w:t>
            </w:r>
          </w:p>
          <w:p w14:paraId="4BD5F355" w14:textId="77777777" w:rsidR="00E06656" w:rsidRPr="00957B06" w:rsidRDefault="00E06656" w:rsidP="004F013E">
            <w:pPr>
              <w:pStyle w:val="ARTartustawynprozporzdzenia"/>
              <w:numPr>
                <w:ilvl w:val="0"/>
                <w:numId w:val="4"/>
              </w:numPr>
              <w:spacing w:after="120" w:line="240" w:lineRule="auto"/>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 xml:space="preserve">Ustawa z dnia 23 lipca 2003 r. o ochronie zabytków i opiece nad zabytkami (Dz. U. z 2018 r. poz. 2067 i 2245 oraz z 2019 r. poz. 730).  </w:t>
            </w:r>
          </w:p>
          <w:p w14:paraId="38D8A07F" w14:textId="77777777" w:rsidR="00E06656" w:rsidRPr="00957B06" w:rsidRDefault="00E06656" w:rsidP="004F013E">
            <w:pPr>
              <w:pStyle w:val="ARTartustawynprozporzdzenia"/>
              <w:numPr>
                <w:ilvl w:val="0"/>
                <w:numId w:val="4"/>
              </w:numPr>
              <w:spacing w:after="120" w:line="240" w:lineRule="auto"/>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Ustawa z dnia 16 kwietnia 2004 r. o ochronie przyrody (Dz. U. z 2018 r. poz. 1614, 2244 i 2340).</w:t>
            </w:r>
          </w:p>
          <w:p w14:paraId="640E9019" w14:textId="77777777" w:rsidR="00E06656" w:rsidRPr="00957B06" w:rsidRDefault="00E06656" w:rsidP="004F013E">
            <w:pPr>
              <w:pStyle w:val="ARTartustawynprozporzdzenia"/>
              <w:numPr>
                <w:ilvl w:val="0"/>
                <w:numId w:val="4"/>
              </w:numPr>
              <w:spacing w:after="120" w:line="240" w:lineRule="auto"/>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 xml:space="preserve">Ustawa z dnia 6 listopada 2008 r. o prawach pacjenta i Rzeczniku Praw Pacjenta (Dz. U. z 2017 r. poz. 1318, z </w:t>
            </w:r>
            <w:proofErr w:type="spellStart"/>
            <w:r w:rsidRPr="00957B06">
              <w:rPr>
                <w:rFonts w:ascii="Times New Roman" w:eastAsia="Calibri" w:hAnsi="Times New Roman" w:cs="Times New Roman"/>
                <w:color w:val="000000"/>
                <w:sz w:val="22"/>
                <w:szCs w:val="22"/>
                <w:lang w:eastAsia="en-US"/>
              </w:rPr>
              <w:t>późn</w:t>
            </w:r>
            <w:proofErr w:type="spellEnd"/>
            <w:r w:rsidRPr="00957B06">
              <w:rPr>
                <w:rFonts w:ascii="Times New Roman" w:eastAsia="Calibri" w:hAnsi="Times New Roman" w:cs="Times New Roman"/>
                <w:color w:val="000000"/>
                <w:sz w:val="22"/>
                <w:szCs w:val="22"/>
                <w:lang w:eastAsia="en-US"/>
              </w:rPr>
              <w:t>. zm.</w:t>
            </w:r>
            <w:r w:rsidRPr="00467BD3">
              <w:rPr>
                <w:rStyle w:val="Odwoanieprzypisudolnego"/>
                <w:rFonts w:ascii="Times New Roman" w:eastAsia="Calibri" w:hAnsi="Times New Roman" w:cs="Times New Roman"/>
                <w:color w:val="000000"/>
                <w:sz w:val="22"/>
                <w:szCs w:val="22"/>
                <w:lang w:eastAsia="en-US"/>
              </w:rPr>
              <w:footnoteReference w:id="3"/>
            </w:r>
            <w:r w:rsidRPr="00467BD3">
              <w:rPr>
                <w:rFonts w:ascii="Times New Roman" w:eastAsia="Calibri" w:hAnsi="Times New Roman" w:cs="Times New Roman"/>
                <w:color w:val="000000"/>
                <w:sz w:val="22"/>
                <w:szCs w:val="22"/>
                <w:lang w:eastAsia="en-US"/>
              </w:rPr>
              <w:t>).</w:t>
            </w:r>
          </w:p>
          <w:p w14:paraId="40D18EC0" w14:textId="77777777" w:rsidR="00E06656" w:rsidRPr="00957B06" w:rsidRDefault="00E06656" w:rsidP="004F013E">
            <w:pPr>
              <w:pStyle w:val="ARTartustawynprozporzdzenia"/>
              <w:numPr>
                <w:ilvl w:val="0"/>
                <w:numId w:val="4"/>
              </w:numPr>
              <w:spacing w:after="120" w:line="240" w:lineRule="auto"/>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Ustawa z dnia 16 grudnia 2010 r. o publicznym transporcie zbiorowym (Dz. U. z 2018 r. poz. 2016 i 2435 oraz z 2019 r. poz. 730).</w:t>
            </w:r>
          </w:p>
          <w:p w14:paraId="3FD36494" w14:textId="77777777" w:rsidR="00E06656" w:rsidRPr="00957B06" w:rsidRDefault="00E06656" w:rsidP="004F013E">
            <w:pPr>
              <w:pStyle w:val="ARTartustawynprozporzdzenia"/>
              <w:numPr>
                <w:ilvl w:val="0"/>
                <w:numId w:val="4"/>
              </w:numPr>
              <w:spacing w:after="120" w:line="240" w:lineRule="auto"/>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Ustawa z 9 października 2015 r. o rewitalizacji (Dz. U. z 2018 r. poz. 1398 oraz z 2019 r. poz. 730).</w:t>
            </w:r>
          </w:p>
          <w:p w14:paraId="07BF122E" w14:textId="77777777" w:rsidR="00E06656" w:rsidRPr="00957B06" w:rsidRDefault="00E06656" w:rsidP="004F013E">
            <w:pPr>
              <w:pStyle w:val="ARTartustawynprozporzdzenia"/>
              <w:numPr>
                <w:ilvl w:val="0"/>
                <w:numId w:val="4"/>
              </w:numPr>
              <w:spacing w:after="120" w:line="240" w:lineRule="auto"/>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 xml:space="preserve">Ustawa z dnia 5 lipca 2018 r. o ułatwieniach w przygotowaniu i realizacji inwestycji mieszkaniowych oraz inwestycji towarzyszących (Dz. U. poz. 1496 oraz z 2019 r. poz. 630).  </w:t>
            </w:r>
          </w:p>
          <w:p w14:paraId="3728A9D6" w14:textId="3F50A4B7" w:rsidR="004D7BB1" w:rsidRPr="00957B06" w:rsidRDefault="00E06656" w:rsidP="004F013E">
            <w:pPr>
              <w:pStyle w:val="ARTartustawynprozporzdzenia"/>
              <w:numPr>
                <w:ilvl w:val="0"/>
                <w:numId w:val="4"/>
              </w:numPr>
              <w:spacing w:after="120" w:line="240" w:lineRule="auto"/>
              <w:jc w:val="left"/>
              <w:rPr>
                <w:rFonts w:ascii="Times New Roman" w:eastAsia="Calibri" w:hAnsi="Times New Roman" w:cs="Times New Roman"/>
                <w:color w:val="000000"/>
                <w:sz w:val="22"/>
                <w:szCs w:val="22"/>
                <w:lang w:eastAsia="en-US"/>
              </w:rPr>
            </w:pPr>
            <w:r w:rsidRPr="00957B06">
              <w:rPr>
                <w:rFonts w:ascii="Times New Roman" w:eastAsia="Calibri" w:hAnsi="Times New Roman" w:cs="Times New Roman"/>
                <w:color w:val="000000"/>
                <w:sz w:val="22"/>
                <w:szCs w:val="22"/>
                <w:lang w:eastAsia="en-US"/>
              </w:rPr>
              <w:t>Ustawa z dnia 23 października 2018 r. o Solidarnościowym Funduszu Wsparcia Osób Niepełnosprawnych (</w:t>
            </w:r>
            <w:r w:rsidR="002C1BFA" w:rsidRPr="00957B06">
              <w:t xml:space="preserve">Dz. U. z 2024 r. poz. 1848, z </w:t>
            </w:r>
            <w:proofErr w:type="spellStart"/>
            <w:r w:rsidR="002C1BFA" w:rsidRPr="00957B06">
              <w:t>późn</w:t>
            </w:r>
            <w:proofErr w:type="spellEnd"/>
            <w:r w:rsidR="002C1BFA" w:rsidRPr="00957B06">
              <w:t>. zm.).</w:t>
            </w:r>
            <w:r w:rsidR="002C1BFA" w:rsidRPr="00957B06">
              <w:rPr>
                <w:rFonts w:ascii="Times New Roman" w:eastAsia="Calibri" w:hAnsi="Times New Roman" w:cs="Times New Roman"/>
                <w:color w:val="000000"/>
                <w:sz w:val="22"/>
                <w:szCs w:val="22"/>
                <w:lang w:eastAsia="en-US"/>
              </w:rPr>
              <w:t>.</w:t>
            </w:r>
          </w:p>
        </w:tc>
      </w:tr>
      <w:tr w:rsidR="009C15F8" w:rsidRPr="00957B06" w14:paraId="1A5D4045" w14:textId="77777777">
        <w:trPr>
          <w:trHeight w:val="372"/>
        </w:trPr>
        <w:tc>
          <w:tcPr>
            <w:tcW w:w="11057" w:type="dxa"/>
            <w:gridSpan w:val="5"/>
            <w:shd w:val="clear" w:color="auto" w:fill="53A824"/>
          </w:tcPr>
          <w:p w14:paraId="0F1100ED" w14:textId="77777777" w:rsidR="009C15F8" w:rsidRPr="00957B06" w:rsidRDefault="00E06656">
            <w:pPr>
              <w:pStyle w:val="TableParagraph"/>
              <w:spacing w:before="60"/>
              <w:ind w:left="141"/>
              <w:rPr>
                <w:b/>
              </w:rPr>
            </w:pPr>
            <w:r w:rsidRPr="00957B06">
              <w:rPr>
                <w:b/>
              </w:rPr>
              <w:lastRenderedPageBreak/>
              <w:t>2.</w:t>
            </w:r>
            <w:r w:rsidRPr="00957B06">
              <w:rPr>
                <w:b/>
                <w:spacing w:val="57"/>
              </w:rPr>
              <w:t xml:space="preserve"> </w:t>
            </w:r>
            <w:r w:rsidRPr="00957B06">
              <w:rPr>
                <w:b/>
              </w:rPr>
              <w:t>Podmioty,</w:t>
            </w:r>
            <w:r w:rsidRPr="00957B06">
              <w:rPr>
                <w:b/>
                <w:spacing w:val="-2"/>
              </w:rPr>
              <w:t xml:space="preserve"> </w:t>
            </w:r>
            <w:r w:rsidRPr="00957B06">
              <w:rPr>
                <w:b/>
              </w:rPr>
              <w:t>na</w:t>
            </w:r>
            <w:r w:rsidRPr="00957B06">
              <w:rPr>
                <w:b/>
                <w:spacing w:val="-2"/>
              </w:rPr>
              <w:t xml:space="preserve"> </w:t>
            </w:r>
            <w:r w:rsidRPr="00957B06">
              <w:rPr>
                <w:b/>
              </w:rPr>
              <w:t>które</w:t>
            </w:r>
            <w:r w:rsidRPr="00957B06">
              <w:rPr>
                <w:b/>
                <w:spacing w:val="-3"/>
              </w:rPr>
              <w:t xml:space="preserve"> </w:t>
            </w:r>
            <w:r w:rsidRPr="00957B06">
              <w:rPr>
                <w:b/>
              </w:rPr>
              <w:t>oddziałuje</w:t>
            </w:r>
            <w:r w:rsidRPr="00957B06">
              <w:rPr>
                <w:b/>
                <w:spacing w:val="-3"/>
              </w:rPr>
              <w:t xml:space="preserve"> </w:t>
            </w:r>
            <w:r w:rsidRPr="00957B06">
              <w:rPr>
                <w:b/>
                <w:spacing w:val="-2"/>
              </w:rPr>
              <w:t>ustawa</w:t>
            </w:r>
          </w:p>
        </w:tc>
      </w:tr>
      <w:tr w:rsidR="009C15F8" w:rsidRPr="00957B06" w14:paraId="21B8AD3E" w14:textId="77777777">
        <w:trPr>
          <w:trHeight w:val="269"/>
        </w:trPr>
        <w:tc>
          <w:tcPr>
            <w:tcW w:w="2672" w:type="dxa"/>
          </w:tcPr>
          <w:p w14:paraId="06774514" w14:textId="77777777" w:rsidR="009C15F8" w:rsidRPr="00957B06" w:rsidRDefault="00E06656">
            <w:pPr>
              <w:pStyle w:val="TableParagraph"/>
              <w:spacing w:before="40" w:line="210" w:lineRule="exact"/>
              <w:ind w:left="12"/>
              <w:jc w:val="center"/>
              <w:rPr>
                <w:sz w:val="20"/>
              </w:rPr>
            </w:pPr>
            <w:r w:rsidRPr="00957B06">
              <w:rPr>
                <w:spacing w:val="-2"/>
                <w:sz w:val="20"/>
              </w:rPr>
              <w:t>Grupa</w:t>
            </w:r>
          </w:p>
        </w:tc>
        <w:tc>
          <w:tcPr>
            <w:tcW w:w="2292" w:type="dxa"/>
          </w:tcPr>
          <w:p w14:paraId="28A1B19C" w14:textId="77777777" w:rsidR="009C15F8" w:rsidRPr="00957B06" w:rsidRDefault="00E06656">
            <w:pPr>
              <w:pStyle w:val="TableParagraph"/>
              <w:spacing w:before="40" w:line="210" w:lineRule="exact"/>
              <w:ind w:left="11"/>
              <w:jc w:val="center"/>
              <w:rPr>
                <w:sz w:val="20"/>
              </w:rPr>
            </w:pPr>
            <w:r w:rsidRPr="00957B06">
              <w:rPr>
                <w:spacing w:val="-2"/>
                <w:sz w:val="20"/>
              </w:rPr>
              <w:t>Wielkość</w:t>
            </w:r>
          </w:p>
        </w:tc>
        <w:tc>
          <w:tcPr>
            <w:tcW w:w="2996" w:type="dxa"/>
            <w:gridSpan w:val="2"/>
          </w:tcPr>
          <w:p w14:paraId="5E2780FE" w14:textId="77777777" w:rsidR="009C15F8" w:rsidRPr="00957B06" w:rsidRDefault="00E06656">
            <w:pPr>
              <w:pStyle w:val="TableParagraph"/>
              <w:spacing w:before="40" w:line="210" w:lineRule="exact"/>
              <w:ind w:left="925"/>
              <w:rPr>
                <w:sz w:val="20"/>
              </w:rPr>
            </w:pPr>
            <w:r w:rsidRPr="00957B06">
              <w:rPr>
                <w:spacing w:val="-2"/>
                <w:sz w:val="20"/>
              </w:rPr>
              <w:t>Źródło danych</w:t>
            </w:r>
          </w:p>
        </w:tc>
        <w:tc>
          <w:tcPr>
            <w:tcW w:w="3097" w:type="dxa"/>
          </w:tcPr>
          <w:p w14:paraId="2C8C6984" w14:textId="77777777" w:rsidR="009C15F8" w:rsidRPr="00957B06" w:rsidRDefault="00E06656">
            <w:pPr>
              <w:pStyle w:val="TableParagraph"/>
              <w:spacing w:before="40" w:line="210" w:lineRule="exact"/>
              <w:ind w:left="959"/>
              <w:rPr>
                <w:sz w:val="20"/>
              </w:rPr>
            </w:pPr>
            <w:r w:rsidRPr="00957B06">
              <w:rPr>
                <w:spacing w:val="-2"/>
                <w:sz w:val="20"/>
              </w:rPr>
              <w:t>Oddziaływanie</w:t>
            </w:r>
          </w:p>
        </w:tc>
      </w:tr>
      <w:tr w:rsidR="00E72F8D" w:rsidRPr="00957B06" w14:paraId="31366D7A" w14:textId="77777777">
        <w:trPr>
          <w:trHeight w:val="758"/>
        </w:trPr>
        <w:tc>
          <w:tcPr>
            <w:tcW w:w="2672" w:type="dxa"/>
          </w:tcPr>
          <w:p w14:paraId="3F9E85AC" w14:textId="77777777" w:rsidR="00E72F8D" w:rsidRPr="00957B06" w:rsidRDefault="00E72F8D" w:rsidP="00E72F8D">
            <w:pPr>
              <w:rPr>
                <w:rFonts w:cs="Calibri"/>
                <w:color w:val="0D0D0D"/>
              </w:rPr>
            </w:pPr>
            <w:r w:rsidRPr="00957B06">
              <w:rPr>
                <w:rFonts w:cs="Calibri"/>
                <w:color w:val="0D0D0D"/>
              </w:rPr>
              <w:t xml:space="preserve">Podmioty publiczne, </w:t>
            </w:r>
          </w:p>
          <w:p w14:paraId="3F7AE45C" w14:textId="77777777" w:rsidR="00E72F8D" w:rsidRPr="00957B06" w:rsidRDefault="00E72F8D" w:rsidP="00E72F8D">
            <w:pPr>
              <w:rPr>
                <w:rFonts w:cs="Calibri"/>
                <w:color w:val="0D0D0D"/>
              </w:rPr>
            </w:pPr>
          </w:p>
          <w:p w14:paraId="68978532" w14:textId="77777777" w:rsidR="00E72F8D" w:rsidRPr="00957B06" w:rsidRDefault="00E72F8D" w:rsidP="00E72F8D">
            <w:pPr>
              <w:rPr>
                <w:rFonts w:cs="Calibri"/>
                <w:color w:val="0D0D0D"/>
              </w:rPr>
            </w:pPr>
            <w:r w:rsidRPr="00957B06">
              <w:rPr>
                <w:rFonts w:cs="Calibri"/>
                <w:color w:val="0D0D0D"/>
              </w:rPr>
              <w:t>w tym:</w:t>
            </w:r>
          </w:p>
          <w:p w14:paraId="17DDBEF6" w14:textId="77777777" w:rsidR="00E72F8D" w:rsidRPr="00957B06" w:rsidRDefault="00E72F8D" w:rsidP="00E72F8D">
            <w:pPr>
              <w:rPr>
                <w:rFonts w:cs="Calibri"/>
                <w:color w:val="0D0D0D"/>
              </w:rPr>
            </w:pPr>
          </w:p>
          <w:p w14:paraId="30F39725" w14:textId="77777777" w:rsidR="00E72F8D" w:rsidRPr="00957B06" w:rsidRDefault="00E72F8D" w:rsidP="00E72F8D">
            <w:pPr>
              <w:rPr>
                <w:rFonts w:cs="Calibri"/>
                <w:color w:val="0D0D0D"/>
              </w:rPr>
            </w:pPr>
          </w:p>
          <w:p w14:paraId="0BFA2DA0" w14:textId="77777777" w:rsidR="00E72F8D" w:rsidRPr="00957B06" w:rsidRDefault="00E72F8D" w:rsidP="00E72F8D">
            <w:pPr>
              <w:rPr>
                <w:rFonts w:cs="Calibri"/>
                <w:color w:val="0D0D0D"/>
              </w:rPr>
            </w:pPr>
          </w:p>
          <w:p w14:paraId="17B51C08" w14:textId="141BB4F1" w:rsidR="00E72F8D" w:rsidRPr="00957B06" w:rsidRDefault="00E72F8D" w:rsidP="00E72F8D">
            <w:pPr>
              <w:rPr>
                <w:rFonts w:cs="Calibri"/>
                <w:color w:val="0D0D0D"/>
              </w:rPr>
            </w:pPr>
          </w:p>
          <w:p w14:paraId="05F93734" w14:textId="44C77B77" w:rsidR="00BE4EF0" w:rsidRPr="00957B06" w:rsidRDefault="00BE4EF0" w:rsidP="00E72F8D">
            <w:pPr>
              <w:rPr>
                <w:rFonts w:cs="Calibri"/>
                <w:color w:val="0D0D0D"/>
              </w:rPr>
            </w:pPr>
          </w:p>
          <w:p w14:paraId="33D85933" w14:textId="0DE2D29F" w:rsidR="00BE4EF0" w:rsidRPr="00957B06" w:rsidRDefault="00BE4EF0" w:rsidP="00E72F8D">
            <w:pPr>
              <w:rPr>
                <w:rFonts w:cs="Calibri"/>
                <w:color w:val="0D0D0D"/>
              </w:rPr>
            </w:pPr>
          </w:p>
          <w:p w14:paraId="51B6D01D" w14:textId="6D5AC4C5" w:rsidR="00BE4EF0" w:rsidRPr="00957B06" w:rsidRDefault="00BE4EF0" w:rsidP="00E72F8D">
            <w:pPr>
              <w:rPr>
                <w:rFonts w:cs="Calibri"/>
                <w:color w:val="0D0D0D"/>
              </w:rPr>
            </w:pPr>
          </w:p>
          <w:p w14:paraId="4E3BAA68" w14:textId="620546E6" w:rsidR="00BE4EF0" w:rsidRPr="00957B06" w:rsidRDefault="00BE4EF0" w:rsidP="00E72F8D">
            <w:pPr>
              <w:rPr>
                <w:rFonts w:cs="Calibri"/>
                <w:color w:val="0D0D0D"/>
              </w:rPr>
            </w:pPr>
          </w:p>
          <w:p w14:paraId="7F7DCDB4" w14:textId="18495EAA" w:rsidR="00BE4EF0" w:rsidRPr="00957B06" w:rsidRDefault="00BE4EF0" w:rsidP="00E72F8D">
            <w:pPr>
              <w:rPr>
                <w:rFonts w:cs="Calibri"/>
                <w:color w:val="0D0D0D"/>
              </w:rPr>
            </w:pPr>
          </w:p>
          <w:p w14:paraId="51C1655E" w14:textId="035A972D" w:rsidR="00BE4EF0" w:rsidRPr="00957B06" w:rsidRDefault="00BE4EF0" w:rsidP="00E72F8D">
            <w:pPr>
              <w:rPr>
                <w:rFonts w:cs="Calibri"/>
                <w:color w:val="0D0D0D"/>
              </w:rPr>
            </w:pPr>
          </w:p>
          <w:p w14:paraId="45664C86" w14:textId="00928CD8" w:rsidR="00BE4EF0" w:rsidRPr="00957B06" w:rsidRDefault="00BE4EF0" w:rsidP="00E72F8D">
            <w:pPr>
              <w:rPr>
                <w:rFonts w:cs="Calibri"/>
                <w:color w:val="0D0D0D"/>
              </w:rPr>
            </w:pPr>
          </w:p>
          <w:p w14:paraId="1131FDFB" w14:textId="45E952E9" w:rsidR="00BE4EF0" w:rsidRPr="00957B06" w:rsidRDefault="00BE4EF0" w:rsidP="00E72F8D">
            <w:pPr>
              <w:rPr>
                <w:rFonts w:cs="Calibri"/>
                <w:color w:val="0D0D0D"/>
              </w:rPr>
            </w:pPr>
          </w:p>
          <w:p w14:paraId="231E99FD" w14:textId="680638E7" w:rsidR="00BE4EF0" w:rsidRPr="00957B06" w:rsidRDefault="00BE4EF0" w:rsidP="00E72F8D">
            <w:pPr>
              <w:rPr>
                <w:rFonts w:cs="Calibri"/>
                <w:color w:val="0D0D0D"/>
              </w:rPr>
            </w:pPr>
          </w:p>
          <w:p w14:paraId="51C1E662" w14:textId="16B03018" w:rsidR="00BE4EF0" w:rsidRPr="00957B06" w:rsidRDefault="00BE4EF0" w:rsidP="00E72F8D">
            <w:pPr>
              <w:rPr>
                <w:rFonts w:cs="Calibri"/>
                <w:color w:val="0D0D0D"/>
              </w:rPr>
            </w:pPr>
          </w:p>
          <w:p w14:paraId="0031D12E" w14:textId="123277A1" w:rsidR="00BE4EF0" w:rsidRPr="00957B06" w:rsidRDefault="00BE4EF0" w:rsidP="00E72F8D">
            <w:pPr>
              <w:rPr>
                <w:rFonts w:cs="Calibri"/>
                <w:color w:val="0D0D0D"/>
              </w:rPr>
            </w:pPr>
          </w:p>
          <w:p w14:paraId="1DD60C4A" w14:textId="37A22F5A" w:rsidR="00BE4EF0" w:rsidRPr="00957B06" w:rsidRDefault="00BE4EF0" w:rsidP="00E72F8D">
            <w:pPr>
              <w:rPr>
                <w:rFonts w:cs="Calibri"/>
                <w:color w:val="0D0D0D"/>
              </w:rPr>
            </w:pPr>
          </w:p>
          <w:p w14:paraId="63FF5993" w14:textId="77777777" w:rsidR="00BE4EF0" w:rsidRPr="00957B06" w:rsidRDefault="00BE4EF0" w:rsidP="00E72F8D">
            <w:pPr>
              <w:rPr>
                <w:rFonts w:cs="Calibri"/>
                <w:color w:val="0D0D0D"/>
              </w:rPr>
            </w:pPr>
          </w:p>
          <w:p w14:paraId="1A012EA2" w14:textId="77777777" w:rsidR="00E72F8D" w:rsidRPr="00957B06" w:rsidRDefault="00E72F8D" w:rsidP="00E72F8D">
            <w:pPr>
              <w:rPr>
                <w:rFonts w:cs="Calibri"/>
                <w:color w:val="0D0D0D"/>
              </w:rPr>
            </w:pPr>
            <w:r w:rsidRPr="00957B06">
              <w:rPr>
                <w:rFonts w:cs="Calibri"/>
                <w:color w:val="0D0D0D"/>
              </w:rPr>
              <w:t xml:space="preserve">1) organy władzy, administracji rządowej </w:t>
            </w:r>
          </w:p>
          <w:p w14:paraId="3A66BA85" w14:textId="77777777" w:rsidR="00E72F8D" w:rsidRPr="00957B06" w:rsidRDefault="00E72F8D" w:rsidP="00E72F8D">
            <w:pPr>
              <w:rPr>
                <w:rFonts w:cs="Calibri"/>
                <w:color w:val="0D0D0D"/>
              </w:rPr>
            </w:pPr>
            <w:r w:rsidRPr="00957B06">
              <w:rPr>
                <w:rFonts w:cs="Calibri"/>
                <w:color w:val="0D0D0D"/>
              </w:rPr>
              <w:t xml:space="preserve"> </w:t>
            </w:r>
          </w:p>
          <w:p w14:paraId="120E469A" w14:textId="77777777" w:rsidR="00E72F8D" w:rsidRPr="00957B06" w:rsidRDefault="00E72F8D" w:rsidP="00E72F8D">
            <w:pPr>
              <w:rPr>
                <w:rFonts w:cs="Calibri"/>
                <w:color w:val="0D0D0D"/>
              </w:rPr>
            </w:pPr>
            <w:r w:rsidRPr="00957B06">
              <w:rPr>
                <w:rFonts w:cs="Calibri"/>
                <w:color w:val="0D0D0D"/>
              </w:rPr>
              <w:t>2) organy kontroli państwowej i ochrony prawa (bez służb specjalnych)</w:t>
            </w:r>
          </w:p>
          <w:p w14:paraId="48B743F5" w14:textId="77777777" w:rsidR="00E72F8D" w:rsidRPr="00957B06" w:rsidRDefault="00E72F8D" w:rsidP="00E72F8D">
            <w:pPr>
              <w:rPr>
                <w:rFonts w:cs="Calibri"/>
                <w:color w:val="0D0D0D"/>
              </w:rPr>
            </w:pPr>
          </w:p>
          <w:p w14:paraId="39B6E8D1" w14:textId="77777777" w:rsidR="00E72F8D" w:rsidRPr="00957B06" w:rsidRDefault="00E72F8D" w:rsidP="00E72F8D">
            <w:pPr>
              <w:rPr>
                <w:rFonts w:cs="Calibri"/>
                <w:color w:val="0D0D0D"/>
              </w:rPr>
            </w:pPr>
            <w:r w:rsidRPr="00957B06">
              <w:rPr>
                <w:rFonts w:cs="Calibri"/>
                <w:color w:val="0D0D0D"/>
              </w:rPr>
              <w:t xml:space="preserve">3) sądy i trybunały </w:t>
            </w:r>
          </w:p>
          <w:p w14:paraId="390E7976" w14:textId="77777777" w:rsidR="00E72F8D" w:rsidRPr="00957B06" w:rsidRDefault="00E72F8D" w:rsidP="00E72F8D">
            <w:pPr>
              <w:rPr>
                <w:rFonts w:cs="Calibri"/>
                <w:color w:val="0D0D0D"/>
              </w:rPr>
            </w:pPr>
          </w:p>
          <w:p w14:paraId="7B566E0B" w14:textId="77777777" w:rsidR="00E72F8D" w:rsidRPr="00957B06" w:rsidRDefault="00E72F8D" w:rsidP="00E72F8D">
            <w:pPr>
              <w:rPr>
                <w:rFonts w:cs="Calibri"/>
                <w:color w:val="0D0D0D"/>
              </w:rPr>
            </w:pPr>
          </w:p>
          <w:p w14:paraId="3DC89575" w14:textId="77777777" w:rsidR="00E72F8D" w:rsidRPr="00957B06" w:rsidRDefault="00E72F8D" w:rsidP="00E72F8D">
            <w:pPr>
              <w:rPr>
                <w:rFonts w:cs="Calibri"/>
                <w:color w:val="0D0D0D"/>
              </w:rPr>
            </w:pPr>
          </w:p>
          <w:p w14:paraId="531A6DEA" w14:textId="77777777" w:rsidR="00E72F8D" w:rsidRPr="00957B06" w:rsidRDefault="00E72F8D" w:rsidP="00E72F8D">
            <w:pPr>
              <w:rPr>
                <w:rFonts w:cs="Calibri"/>
                <w:color w:val="0D0D0D"/>
              </w:rPr>
            </w:pPr>
          </w:p>
          <w:p w14:paraId="37F77DA1" w14:textId="77777777" w:rsidR="00E72F8D" w:rsidRPr="00957B06" w:rsidRDefault="00E72F8D" w:rsidP="00E72F8D">
            <w:pPr>
              <w:rPr>
                <w:rFonts w:cs="Calibri"/>
                <w:color w:val="0D0D0D"/>
              </w:rPr>
            </w:pPr>
            <w:r w:rsidRPr="00957B06">
              <w:rPr>
                <w:rFonts w:cs="Calibri"/>
                <w:color w:val="0D0D0D"/>
              </w:rPr>
              <w:t>4) wspólnoty samorządowe</w:t>
            </w:r>
          </w:p>
          <w:p w14:paraId="2C9B583D" w14:textId="77777777" w:rsidR="00E72F8D" w:rsidRPr="00957B06" w:rsidRDefault="00E72F8D" w:rsidP="00E72F8D">
            <w:pPr>
              <w:rPr>
                <w:rFonts w:cs="Calibri"/>
                <w:color w:val="0D0D0D"/>
              </w:rPr>
            </w:pPr>
          </w:p>
          <w:p w14:paraId="5E94F253" w14:textId="77777777" w:rsidR="00E72F8D" w:rsidRPr="00957B06" w:rsidRDefault="00E72F8D" w:rsidP="00E72F8D">
            <w:pPr>
              <w:rPr>
                <w:rFonts w:cs="Calibri"/>
                <w:color w:val="0D0D0D"/>
              </w:rPr>
            </w:pPr>
            <w:r w:rsidRPr="00957B06">
              <w:rPr>
                <w:rFonts w:cs="Calibri"/>
                <w:color w:val="0D0D0D"/>
              </w:rPr>
              <w:t xml:space="preserve">5) jednostki budżetowe (z wyłączeniem podmiotów wskazanych w pkt 1,2,3) </w:t>
            </w:r>
          </w:p>
          <w:p w14:paraId="13215603" w14:textId="77777777" w:rsidR="00E72F8D" w:rsidRPr="00957B06" w:rsidRDefault="00E72F8D" w:rsidP="00E72F8D">
            <w:pPr>
              <w:rPr>
                <w:rFonts w:cs="Calibri"/>
                <w:color w:val="0D0D0D"/>
              </w:rPr>
            </w:pPr>
          </w:p>
          <w:p w14:paraId="00ED6E3C" w14:textId="77777777" w:rsidR="00E72F8D" w:rsidRPr="00957B06" w:rsidRDefault="00E72F8D" w:rsidP="00E72F8D">
            <w:pPr>
              <w:rPr>
                <w:rFonts w:cs="Calibri"/>
                <w:color w:val="0D0D0D"/>
              </w:rPr>
            </w:pPr>
            <w:r w:rsidRPr="00957B06">
              <w:rPr>
                <w:rFonts w:cs="Calibri"/>
                <w:color w:val="0D0D0D"/>
              </w:rPr>
              <w:t>6) samorządowe zakłady budżetowe</w:t>
            </w:r>
          </w:p>
          <w:p w14:paraId="2FAAAFAA" w14:textId="77777777" w:rsidR="00E72F8D" w:rsidRPr="00957B06" w:rsidRDefault="00E72F8D" w:rsidP="00E72F8D">
            <w:pPr>
              <w:rPr>
                <w:rFonts w:cs="Calibri"/>
                <w:color w:val="0D0D0D"/>
              </w:rPr>
            </w:pPr>
          </w:p>
          <w:p w14:paraId="4221EB9E" w14:textId="77777777" w:rsidR="00E72F8D" w:rsidRPr="00957B06" w:rsidRDefault="00E72F8D" w:rsidP="00E72F8D">
            <w:pPr>
              <w:rPr>
                <w:rFonts w:cs="Calibri"/>
                <w:color w:val="0D0D0D"/>
              </w:rPr>
            </w:pPr>
            <w:r w:rsidRPr="00957B06">
              <w:rPr>
                <w:rFonts w:cs="Calibri"/>
                <w:color w:val="0D0D0D"/>
              </w:rPr>
              <w:t xml:space="preserve">7) instytucje gospodarki budżetowej </w:t>
            </w:r>
          </w:p>
          <w:p w14:paraId="2A58F018" w14:textId="77777777" w:rsidR="00E72F8D" w:rsidRPr="00957B06" w:rsidRDefault="00E72F8D" w:rsidP="00E72F8D">
            <w:pPr>
              <w:rPr>
                <w:rFonts w:cs="Calibri"/>
                <w:color w:val="0D0D0D"/>
              </w:rPr>
            </w:pPr>
          </w:p>
          <w:p w14:paraId="30FF82DD" w14:textId="77777777" w:rsidR="00E72F8D" w:rsidRPr="00957B06" w:rsidRDefault="00E72F8D" w:rsidP="00E72F8D">
            <w:pPr>
              <w:rPr>
                <w:rFonts w:cs="Calibri"/>
                <w:color w:val="0D0D0D"/>
              </w:rPr>
            </w:pPr>
            <w:r w:rsidRPr="00957B06">
              <w:rPr>
                <w:rFonts w:cs="Calibri"/>
                <w:color w:val="0D0D0D"/>
              </w:rPr>
              <w:t xml:space="preserve">8) fundusze -własność Skarbu Państwa lub własność państwowych osób prawnych </w:t>
            </w:r>
          </w:p>
          <w:p w14:paraId="554C3053" w14:textId="77777777" w:rsidR="00E72F8D" w:rsidRPr="00957B06" w:rsidRDefault="00E72F8D" w:rsidP="00E72F8D">
            <w:pPr>
              <w:rPr>
                <w:rFonts w:cs="Calibri"/>
                <w:color w:val="0D0D0D"/>
              </w:rPr>
            </w:pPr>
          </w:p>
          <w:p w14:paraId="66E6CA66" w14:textId="77777777" w:rsidR="00E72F8D" w:rsidRPr="00957B06" w:rsidRDefault="00E72F8D" w:rsidP="00E72F8D">
            <w:pPr>
              <w:rPr>
                <w:rFonts w:cs="Calibri"/>
                <w:color w:val="0D0D0D"/>
              </w:rPr>
            </w:pPr>
            <w:r w:rsidRPr="00957B06">
              <w:rPr>
                <w:rFonts w:cs="Calibri"/>
                <w:color w:val="0D0D0D"/>
              </w:rPr>
              <w:t>9) Zakład Ubezpieczeń Społecznych (centrala, 43 oddziały terenowe i 280 inspektoratów i biur terenowych)</w:t>
            </w:r>
          </w:p>
          <w:p w14:paraId="3EEF9AA0" w14:textId="77777777" w:rsidR="00E72F8D" w:rsidRPr="00957B06" w:rsidRDefault="00E72F8D" w:rsidP="00E72F8D">
            <w:pPr>
              <w:rPr>
                <w:rFonts w:cs="Calibri"/>
                <w:color w:val="0D0D0D"/>
              </w:rPr>
            </w:pPr>
          </w:p>
          <w:p w14:paraId="090BB15D" w14:textId="77777777" w:rsidR="00E72F8D" w:rsidRPr="00957B06" w:rsidRDefault="00E72F8D" w:rsidP="00E72F8D">
            <w:pPr>
              <w:rPr>
                <w:rFonts w:cs="Calibri"/>
                <w:color w:val="0D0D0D"/>
              </w:rPr>
            </w:pPr>
            <w:r w:rsidRPr="00957B06">
              <w:rPr>
                <w:rFonts w:cs="Calibri"/>
                <w:color w:val="0D0D0D"/>
              </w:rPr>
              <w:t xml:space="preserve">10) Kasa Rolniczego Ubezpieczenia Społecznego (centrala, 16 oddziałów regionalnych i 256 terenowych) </w:t>
            </w:r>
          </w:p>
          <w:p w14:paraId="209FE9F8" w14:textId="77777777" w:rsidR="00E72F8D" w:rsidRPr="00957B06" w:rsidRDefault="00E72F8D" w:rsidP="00E72F8D">
            <w:pPr>
              <w:rPr>
                <w:rFonts w:cs="Calibri"/>
                <w:color w:val="0D0D0D"/>
              </w:rPr>
            </w:pPr>
          </w:p>
          <w:p w14:paraId="31DF96E0" w14:textId="77777777" w:rsidR="00E72F8D" w:rsidRPr="00957B06" w:rsidRDefault="00E72F8D" w:rsidP="00E72F8D">
            <w:pPr>
              <w:rPr>
                <w:rFonts w:cs="Calibri"/>
                <w:color w:val="0D0D0D"/>
              </w:rPr>
            </w:pPr>
            <w:r w:rsidRPr="00957B06">
              <w:rPr>
                <w:rFonts w:cs="Calibri"/>
                <w:color w:val="0D0D0D"/>
              </w:rPr>
              <w:t>11) Narodowy Fundusz Zdrowia (centrala i 16 oddziałów wojewódzkich)</w:t>
            </w:r>
          </w:p>
          <w:p w14:paraId="69ABE9A9" w14:textId="77777777" w:rsidR="00E72F8D" w:rsidRPr="00957B06" w:rsidRDefault="00E72F8D" w:rsidP="00E72F8D">
            <w:pPr>
              <w:rPr>
                <w:rFonts w:cs="Calibri"/>
                <w:color w:val="0D0D0D"/>
              </w:rPr>
            </w:pPr>
          </w:p>
          <w:p w14:paraId="032FF3E1" w14:textId="77777777" w:rsidR="00E72F8D" w:rsidRPr="00957B06" w:rsidRDefault="00E72F8D" w:rsidP="00E72F8D">
            <w:pPr>
              <w:rPr>
                <w:rFonts w:cs="Calibri"/>
                <w:color w:val="0D0D0D"/>
              </w:rPr>
            </w:pPr>
            <w:r w:rsidRPr="00957B06">
              <w:rPr>
                <w:rFonts w:cs="Calibri"/>
                <w:color w:val="0D0D0D"/>
              </w:rPr>
              <w:t xml:space="preserve">12) samodzielne publiczne zakłady opieki zdrowotnej </w:t>
            </w:r>
          </w:p>
          <w:p w14:paraId="61ABBF66" w14:textId="77777777" w:rsidR="00E72F8D" w:rsidRPr="00957B06" w:rsidRDefault="00E72F8D" w:rsidP="00E72F8D">
            <w:pPr>
              <w:rPr>
                <w:rFonts w:cs="Calibri"/>
                <w:color w:val="0D0D0D"/>
              </w:rPr>
            </w:pPr>
          </w:p>
          <w:p w14:paraId="14DAA2E5" w14:textId="77777777" w:rsidR="00E72F8D" w:rsidRPr="00957B06" w:rsidRDefault="00E72F8D" w:rsidP="00E72F8D">
            <w:pPr>
              <w:rPr>
                <w:rFonts w:cs="Calibri"/>
                <w:color w:val="0D0D0D"/>
              </w:rPr>
            </w:pPr>
            <w:r w:rsidRPr="00957B06">
              <w:rPr>
                <w:rFonts w:cs="Calibri"/>
                <w:color w:val="0D0D0D"/>
              </w:rPr>
              <w:lastRenderedPageBreak/>
              <w:t xml:space="preserve">13) uczelnie - własność Skarbu Państwa lub własność państwowych osób prawnych </w:t>
            </w:r>
          </w:p>
          <w:p w14:paraId="22A7F8D2" w14:textId="77777777" w:rsidR="00E72F8D" w:rsidRPr="00957B06" w:rsidRDefault="00E72F8D" w:rsidP="00E72F8D">
            <w:pPr>
              <w:rPr>
                <w:rFonts w:cs="Calibri"/>
                <w:color w:val="0D0D0D"/>
              </w:rPr>
            </w:pPr>
          </w:p>
          <w:p w14:paraId="21014AA9" w14:textId="77777777" w:rsidR="00E72F8D" w:rsidRPr="00957B06" w:rsidRDefault="00E72F8D" w:rsidP="00E72F8D">
            <w:pPr>
              <w:rPr>
                <w:rFonts w:cs="Calibri"/>
                <w:color w:val="0D0D0D"/>
              </w:rPr>
            </w:pPr>
            <w:r w:rsidRPr="00957B06">
              <w:rPr>
                <w:rFonts w:cs="Calibri"/>
                <w:color w:val="0D0D0D"/>
              </w:rPr>
              <w:t xml:space="preserve">14) Polska Akademia Nauk  </w:t>
            </w:r>
          </w:p>
          <w:p w14:paraId="4999FBFA" w14:textId="77777777" w:rsidR="00E72F8D" w:rsidRPr="00957B06" w:rsidRDefault="00E72F8D" w:rsidP="00E72F8D">
            <w:pPr>
              <w:rPr>
                <w:rFonts w:cs="Calibri"/>
                <w:color w:val="0D0D0D"/>
              </w:rPr>
            </w:pPr>
          </w:p>
          <w:p w14:paraId="336483B5" w14:textId="77777777" w:rsidR="00E72F8D" w:rsidRPr="00957B06" w:rsidRDefault="00E72F8D" w:rsidP="00E72F8D">
            <w:pPr>
              <w:rPr>
                <w:rFonts w:cs="Calibri"/>
                <w:color w:val="0D0D0D"/>
              </w:rPr>
            </w:pPr>
            <w:r w:rsidRPr="00957B06">
              <w:rPr>
                <w:rFonts w:cs="Calibri"/>
                <w:color w:val="0D0D0D"/>
              </w:rPr>
              <w:t xml:space="preserve">15) instytuty Polskiej Akademii Nauk </w:t>
            </w:r>
          </w:p>
          <w:p w14:paraId="321D8115" w14:textId="77777777" w:rsidR="00E72F8D" w:rsidRPr="00957B06" w:rsidRDefault="00E72F8D" w:rsidP="00E72F8D">
            <w:pPr>
              <w:rPr>
                <w:rFonts w:cs="Calibri"/>
                <w:color w:val="0D0D0D"/>
              </w:rPr>
            </w:pPr>
          </w:p>
          <w:p w14:paraId="30EDE3AA" w14:textId="77777777" w:rsidR="00E72F8D" w:rsidRPr="00957B06" w:rsidRDefault="00E72F8D" w:rsidP="00E72F8D">
            <w:pPr>
              <w:rPr>
                <w:rFonts w:cs="Calibri"/>
                <w:color w:val="0D0D0D"/>
              </w:rPr>
            </w:pPr>
            <w:r w:rsidRPr="00957B06">
              <w:rPr>
                <w:rFonts w:cs="Calibri"/>
                <w:color w:val="0D0D0D"/>
              </w:rPr>
              <w:t xml:space="preserve">16) instytucje kultury - własność Skarbu Państwa lub własność państwowych osób prawnych lub własność jednostek samorządu terytorialnego lub samorządowych osób prawnych </w:t>
            </w:r>
          </w:p>
          <w:p w14:paraId="3143ACDA" w14:textId="77777777" w:rsidR="00E72F8D" w:rsidRPr="00957B06" w:rsidRDefault="00E72F8D" w:rsidP="00E72F8D">
            <w:pPr>
              <w:rPr>
                <w:rFonts w:cs="Calibri"/>
                <w:color w:val="0D0D0D"/>
              </w:rPr>
            </w:pPr>
          </w:p>
          <w:p w14:paraId="0C4AF49A" w14:textId="77777777" w:rsidR="00E72F8D" w:rsidRPr="00957B06" w:rsidRDefault="00E72F8D" w:rsidP="00E72F8D">
            <w:pPr>
              <w:rPr>
                <w:rFonts w:cs="Calibri"/>
                <w:color w:val="0D0D0D"/>
              </w:rPr>
            </w:pPr>
            <w:r w:rsidRPr="00957B06">
              <w:rPr>
                <w:rFonts w:cs="Calibri"/>
                <w:color w:val="0D0D0D"/>
              </w:rPr>
              <w:t xml:space="preserve">17) samorządowe osoby prawne w rozumieniu art. 9 pkt 14 ustawy z dnia 27 sierpnia 2009 o finansach </w:t>
            </w:r>
          </w:p>
          <w:p w14:paraId="32965D69" w14:textId="77777777" w:rsidR="00E72F8D" w:rsidRPr="00957B06" w:rsidRDefault="00E72F8D" w:rsidP="00E72F8D">
            <w:pPr>
              <w:rPr>
                <w:rFonts w:cs="Calibri"/>
                <w:color w:val="0D0D0D"/>
              </w:rPr>
            </w:pPr>
            <w:r w:rsidRPr="00957B06">
              <w:rPr>
                <w:rFonts w:cs="Calibri"/>
                <w:color w:val="0D0D0D"/>
              </w:rPr>
              <w:t>Publicznych</w:t>
            </w:r>
          </w:p>
          <w:p w14:paraId="4D8A5817" w14:textId="77777777" w:rsidR="00E72F8D" w:rsidRPr="00957B06" w:rsidRDefault="00E72F8D" w:rsidP="00E72F8D">
            <w:pPr>
              <w:rPr>
                <w:rFonts w:cs="Calibri"/>
                <w:color w:val="0D0D0D"/>
              </w:rPr>
            </w:pPr>
          </w:p>
          <w:p w14:paraId="4F62471E" w14:textId="77777777" w:rsidR="00E72F8D" w:rsidRPr="00957B06" w:rsidRDefault="00E72F8D" w:rsidP="00E72F8D">
            <w:pPr>
              <w:rPr>
                <w:rFonts w:cs="Calibri"/>
                <w:color w:val="000000"/>
              </w:rPr>
            </w:pPr>
            <w:r w:rsidRPr="00957B06">
              <w:rPr>
                <w:rFonts w:cs="Calibri"/>
                <w:color w:val="000000"/>
              </w:rPr>
              <w:t xml:space="preserve">18) Służby specjalne </w:t>
            </w:r>
          </w:p>
          <w:p w14:paraId="084F1ECC" w14:textId="77777777" w:rsidR="00E72F8D" w:rsidRPr="00957B06" w:rsidRDefault="00E72F8D" w:rsidP="00E72F8D">
            <w:pPr>
              <w:rPr>
                <w:rFonts w:cs="Calibri"/>
                <w:color w:val="000000"/>
              </w:rPr>
            </w:pPr>
          </w:p>
          <w:p w14:paraId="44DAF785" w14:textId="5E5D23DE" w:rsidR="00E72F8D" w:rsidRPr="00957B06" w:rsidRDefault="00E72F8D" w:rsidP="00E72F8D">
            <w:pPr>
              <w:pStyle w:val="TableParagraph"/>
            </w:pPr>
            <w:r w:rsidRPr="00957B06">
              <w:rPr>
                <w:rFonts w:cs="Calibri"/>
                <w:color w:val="000000"/>
              </w:rPr>
              <w:t>19) Kancelaria Sejmu, Kancelaria Senatu, Kancelaria Prezydenta</w:t>
            </w:r>
          </w:p>
        </w:tc>
        <w:tc>
          <w:tcPr>
            <w:tcW w:w="2292" w:type="dxa"/>
          </w:tcPr>
          <w:p w14:paraId="7C46ABDB" w14:textId="1C5F5CDD" w:rsidR="00EC592E" w:rsidRPr="00957B06" w:rsidRDefault="00E72F8D" w:rsidP="00E72F8D">
            <w:pPr>
              <w:spacing w:before="40"/>
              <w:rPr>
                <w:rFonts w:cs="Calibri"/>
                <w:color w:val="0D0D0D"/>
                <w:spacing w:val="-2"/>
              </w:rPr>
            </w:pPr>
            <w:r w:rsidRPr="00957B06">
              <w:rPr>
                <w:rFonts w:cs="Calibri"/>
                <w:color w:val="0D0D0D"/>
                <w:spacing w:val="-2"/>
              </w:rPr>
              <w:lastRenderedPageBreak/>
              <w:t>65</w:t>
            </w:r>
            <w:r w:rsidR="00EC592E" w:rsidRPr="00957B06">
              <w:rPr>
                <w:rFonts w:cs="Calibri"/>
                <w:color w:val="0D0D0D"/>
                <w:spacing w:val="-2"/>
              </w:rPr>
              <w:t> </w:t>
            </w:r>
            <w:r w:rsidRPr="00957B06">
              <w:rPr>
                <w:rFonts w:cs="Calibri"/>
                <w:color w:val="0D0D0D"/>
                <w:spacing w:val="-2"/>
              </w:rPr>
              <w:t>603</w:t>
            </w:r>
          </w:p>
          <w:p w14:paraId="42504AE1" w14:textId="480681AD" w:rsidR="00E72F8D" w:rsidRPr="00957B06" w:rsidRDefault="00EC592E" w:rsidP="00E72F8D">
            <w:pPr>
              <w:spacing w:before="40"/>
              <w:rPr>
                <w:rFonts w:cs="Calibri"/>
                <w:color w:val="0D0D0D"/>
                <w:spacing w:val="-2"/>
              </w:rPr>
            </w:pPr>
            <w:r w:rsidRPr="00957B06">
              <w:rPr>
                <w:rFonts w:cs="Calibri"/>
                <w:b/>
                <w:bCs/>
                <w:color w:val="0D0D0D"/>
                <w:spacing w:val="-2"/>
              </w:rPr>
              <w:t>Uwaga:</w:t>
            </w:r>
            <w:r w:rsidRPr="00957B06">
              <w:rPr>
                <w:rFonts w:cs="Calibri"/>
                <w:color w:val="0D0D0D"/>
                <w:spacing w:val="-2"/>
              </w:rPr>
              <w:t xml:space="preserve"> jest to wielkość przybliżona, ustalona na </w:t>
            </w:r>
            <w:r w:rsidRPr="00957B06">
              <w:rPr>
                <w:rFonts w:cs="Calibri"/>
                <w:color w:val="0D0D0D"/>
                <w:spacing w:val="-2"/>
              </w:rPr>
              <w:lastRenderedPageBreak/>
              <w:t xml:space="preserve">podstawie katalogu danych którym dysponuje GUS. Należy zauważyć że jest to wartość najprawdopodobniej zaniżona, gdyż obejmuje wyłącznie podmioty których danymi dysponuje GUS. Analogiczną wartość przyjęto dla OSR ustawy o dostępności cyfrowej stron internetowych podmiotów publicznych, uchwalonej kilka miesięcy wcześniej. </w:t>
            </w:r>
          </w:p>
          <w:p w14:paraId="1D556CFC" w14:textId="77777777" w:rsidR="00E72F8D" w:rsidRPr="00957B06" w:rsidRDefault="00E72F8D" w:rsidP="00E72F8D">
            <w:pPr>
              <w:spacing w:before="40"/>
              <w:rPr>
                <w:rFonts w:cs="Calibri"/>
                <w:color w:val="0D0D0D"/>
                <w:spacing w:val="-2"/>
              </w:rPr>
            </w:pPr>
          </w:p>
          <w:p w14:paraId="74100F24" w14:textId="77777777" w:rsidR="00E72F8D" w:rsidRPr="00957B06" w:rsidRDefault="00E72F8D" w:rsidP="00E72F8D">
            <w:pPr>
              <w:spacing w:before="40"/>
              <w:rPr>
                <w:rFonts w:cs="Calibri"/>
                <w:color w:val="0D0D0D"/>
                <w:spacing w:val="-2"/>
              </w:rPr>
            </w:pPr>
            <w:r w:rsidRPr="00957B06">
              <w:rPr>
                <w:rFonts w:cs="Calibri"/>
                <w:color w:val="0D0D0D"/>
                <w:spacing w:val="-2"/>
              </w:rPr>
              <w:t>2 759</w:t>
            </w:r>
          </w:p>
          <w:p w14:paraId="2721D450" w14:textId="77777777" w:rsidR="00E72F8D" w:rsidRPr="00957B06" w:rsidRDefault="00E72F8D" w:rsidP="00E72F8D">
            <w:pPr>
              <w:spacing w:before="40"/>
              <w:rPr>
                <w:rFonts w:cs="Calibri"/>
                <w:color w:val="0D0D0D"/>
                <w:spacing w:val="-2"/>
              </w:rPr>
            </w:pPr>
          </w:p>
          <w:p w14:paraId="57DABAD5" w14:textId="77777777" w:rsidR="00E72F8D" w:rsidRPr="00957B06" w:rsidRDefault="00E72F8D" w:rsidP="00E72F8D">
            <w:pPr>
              <w:spacing w:before="40"/>
              <w:rPr>
                <w:rFonts w:cs="Calibri"/>
                <w:color w:val="0D0D0D"/>
                <w:spacing w:val="-2"/>
              </w:rPr>
            </w:pPr>
            <w:r w:rsidRPr="00957B06">
              <w:rPr>
                <w:rFonts w:cs="Calibri"/>
                <w:color w:val="0D0D0D"/>
              </w:rPr>
              <w:br/>
              <w:t>111</w:t>
            </w:r>
          </w:p>
          <w:p w14:paraId="4546E367" w14:textId="77777777" w:rsidR="00E72F8D" w:rsidRPr="00957B06" w:rsidRDefault="00E72F8D" w:rsidP="00E72F8D">
            <w:pPr>
              <w:spacing w:before="40"/>
              <w:rPr>
                <w:rFonts w:cs="Calibri"/>
                <w:color w:val="0D0D0D"/>
              </w:rPr>
            </w:pPr>
          </w:p>
          <w:p w14:paraId="4B8EC43A" w14:textId="77777777" w:rsidR="00E72F8D" w:rsidRPr="00957B06" w:rsidRDefault="00E72F8D" w:rsidP="00E72F8D">
            <w:pPr>
              <w:spacing w:before="40"/>
              <w:rPr>
                <w:rFonts w:cs="Calibri"/>
                <w:color w:val="0D0D0D"/>
              </w:rPr>
            </w:pPr>
            <w:r w:rsidRPr="00957B06">
              <w:rPr>
                <w:rFonts w:cs="Calibri"/>
                <w:color w:val="0D0D0D"/>
              </w:rPr>
              <w:t>476 (w tym sądy wojskowe, administracyjne i wydziały zamiejscowe)</w:t>
            </w:r>
          </w:p>
          <w:p w14:paraId="3F0ACECB" w14:textId="77777777" w:rsidR="00E72F8D" w:rsidRPr="00957B06" w:rsidRDefault="00E72F8D" w:rsidP="00E72F8D">
            <w:pPr>
              <w:spacing w:before="40"/>
              <w:rPr>
                <w:rFonts w:cs="Calibri"/>
                <w:color w:val="0D0D0D"/>
              </w:rPr>
            </w:pPr>
          </w:p>
          <w:p w14:paraId="1CAC26E7" w14:textId="77777777" w:rsidR="00E72F8D" w:rsidRPr="00957B06" w:rsidRDefault="00E72F8D" w:rsidP="00E72F8D">
            <w:pPr>
              <w:spacing w:before="40"/>
              <w:rPr>
                <w:rFonts w:cs="Calibri"/>
                <w:color w:val="0D0D0D"/>
                <w:spacing w:val="-2"/>
              </w:rPr>
            </w:pPr>
            <w:r w:rsidRPr="00957B06">
              <w:rPr>
                <w:rFonts w:cs="Calibri"/>
                <w:color w:val="0D0D0D"/>
              </w:rPr>
              <w:t>3 027</w:t>
            </w:r>
          </w:p>
          <w:p w14:paraId="135D27A4" w14:textId="77777777" w:rsidR="00E72F8D" w:rsidRPr="00957B06" w:rsidRDefault="00E72F8D" w:rsidP="00E72F8D">
            <w:pPr>
              <w:spacing w:before="40"/>
              <w:rPr>
                <w:rFonts w:cs="Calibri"/>
                <w:color w:val="0D0D0D"/>
                <w:spacing w:val="-2"/>
              </w:rPr>
            </w:pPr>
          </w:p>
          <w:p w14:paraId="77C66922" w14:textId="77777777" w:rsidR="00E72F8D" w:rsidRPr="00957B06" w:rsidRDefault="00E72F8D" w:rsidP="00E72F8D">
            <w:pPr>
              <w:spacing w:before="40"/>
              <w:rPr>
                <w:rFonts w:cs="Calibri"/>
                <w:color w:val="0D0D0D"/>
              </w:rPr>
            </w:pPr>
            <w:r w:rsidRPr="00957B06">
              <w:rPr>
                <w:rFonts w:cs="Calibri"/>
                <w:color w:val="0D0D0D"/>
              </w:rPr>
              <w:t>51 146</w:t>
            </w:r>
          </w:p>
          <w:p w14:paraId="11BC4427" w14:textId="77777777" w:rsidR="00E72F8D" w:rsidRPr="00957B06" w:rsidRDefault="00E72F8D" w:rsidP="00E72F8D">
            <w:pPr>
              <w:spacing w:before="40"/>
              <w:rPr>
                <w:rFonts w:cs="Calibri"/>
                <w:color w:val="0D0D0D"/>
                <w:spacing w:val="-2"/>
              </w:rPr>
            </w:pPr>
          </w:p>
          <w:p w14:paraId="7E8F36F3" w14:textId="77777777" w:rsidR="00E72F8D" w:rsidRPr="00957B06" w:rsidRDefault="00E72F8D" w:rsidP="00E72F8D">
            <w:pPr>
              <w:spacing w:before="40"/>
              <w:rPr>
                <w:rFonts w:cs="Calibri"/>
                <w:color w:val="0D0D0D"/>
                <w:spacing w:val="-2"/>
              </w:rPr>
            </w:pPr>
          </w:p>
          <w:p w14:paraId="573BFD9D" w14:textId="77777777" w:rsidR="00E72F8D" w:rsidRPr="00957B06" w:rsidRDefault="00E72F8D" w:rsidP="00E72F8D">
            <w:pPr>
              <w:spacing w:before="40"/>
              <w:rPr>
                <w:rFonts w:cs="Calibri"/>
                <w:color w:val="0D0D0D"/>
                <w:spacing w:val="-2"/>
              </w:rPr>
            </w:pPr>
            <w:r w:rsidRPr="00957B06">
              <w:rPr>
                <w:rFonts w:cs="Calibri"/>
                <w:color w:val="0D0D0D"/>
              </w:rPr>
              <w:t>1 343</w:t>
            </w:r>
          </w:p>
          <w:p w14:paraId="337D5B42" w14:textId="77777777" w:rsidR="00E72F8D" w:rsidRPr="00957B06" w:rsidRDefault="00E72F8D" w:rsidP="00E72F8D">
            <w:pPr>
              <w:spacing w:before="40"/>
              <w:rPr>
                <w:rFonts w:cs="Calibri"/>
                <w:color w:val="0D0D0D"/>
                <w:spacing w:val="-2"/>
              </w:rPr>
            </w:pPr>
          </w:p>
          <w:p w14:paraId="6B22CA0A" w14:textId="77777777" w:rsidR="00E72F8D" w:rsidRPr="00957B06" w:rsidRDefault="00E72F8D" w:rsidP="00E72F8D">
            <w:pPr>
              <w:spacing w:before="40"/>
              <w:rPr>
                <w:rFonts w:cs="Calibri"/>
                <w:color w:val="0D0D0D"/>
                <w:spacing w:val="-2"/>
              </w:rPr>
            </w:pPr>
          </w:p>
          <w:p w14:paraId="30ADE462" w14:textId="77777777" w:rsidR="00E72F8D" w:rsidRPr="00957B06" w:rsidRDefault="00E72F8D" w:rsidP="00E72F8D">
            <w:pPr>
              <w:spacing w:before="40"/>
              <w:rPr>
                <w:rFonts w:cs="Calibri"/>
                <w:color w:val="0D0D0D"/>
                <w:spacing w:val="-2"/>
              </w:rPr>
            </w:pPr>
            <w:r w:rsidRPr="00957B06">
              <w:rPr>
                <w:rFonts w:cs="Calibri"/>
                <w:color w:val="0D0D0D"/>
              </w:rPr>
              <w:t>15</w:t>
            </w:r>
          </w:p>
          <w:p w14:paraId="1A1F5C18" w14:textId="77777777" w:rsidR="00E72F8D" w:rsidRPr="00957B06" w:rsidRDefault="00E72F8D" w:rsidP="00E72F8D">
            <w:pPr>
              <w:spacing w:before="40"/>
              <w:rPr>
                <w:rFonts w:cs="Calibri"/>
                <w:color w:val="0D0D0D"/>
                <w:spacing w:val="-2"/>
              </w:rPr>
            </w:pPr>
          </w:p>
          <w:p w14:paraId="401CCC0D" w14:textId="77777777" w:rsidR="00E72F8D" w:rsidRPr="00957B06" w:rsidRDefault="00E72F8D" w:rsidP="00E72F8D">
            <w:pPr>
              <w:spacing w:before="40"/>
              <w:rPr>
                <w:rFonts w:cs="Calibri"/>
                <w:color w:val="0D0D0D"/>
                <w:spacing w:val="-2"/>
              </w:rPr>
            </w:pPr>
          </w:p>
          <w:p w14:paraId="2BCCE591" w14:textId="77777777" w:rsidR="00E72F8D" w:rsidRPr="00957B06" w:rsidRDefault="00E72F8D" w:rsidP="00E72F8D">
            <w:pPr>
              <w:spacing w:before="40"/>
              <w:rPr>
                <w:rFonts w:cs="Calibri"/>
                <w:color w:val="0D0D0D"/>
                <w:spacing w:val="-2"/>
              </w:rPr>
            </w:pPr>
            <w:r w:rsidRPr="00957B06">
              <w:rPr>
                <w:rFonts w:cs="Calibri"/>
                <w:color w:val="0D0D0D"/>
              </w:rPr>
              <w:t>6</w:t>
            </w:r>
          </w:p>
          <w:p w14:paraId="6E8FB328" w14:textId="77777777" w:rsidR="00E72F8D" w:rsidRPr="00957B06" w:rsidRDefault="00E72F8D" w:rsidP="00E72F8D">
            <w:pPr>
              <w:spacing w:before="40"/>
              <w:rPr>
                <w:rFonts w:cs="Calibri"/>
                <w:color w:val="0D0D0D"/>
                <w:spacing w:val="-2"/>
              </w:rPr>
            </w:pPr>
          </w:p>
          <w:p w14:paraId="25115560" w14:textId="77777777" w:rsidR="00E72F8D" w:rsidRPr="00957B06" w:rsidRDefault="00E72F8D" w:rsidP="00E72F8D">
            <w:pPr>
              <w:spacing w:before="40"/>
              <w:rPr>
                <w:rFonts w:cs="Calibri"/>
                <w:color w:val="0D0D0D"/>
                <w:spacing w:val="-2"/>
              </w:rPr>
            </w:pPr>
          </w:p>
          <w:p w14:paraId="2504F7F4" w14:textId="77777777" w:rsidR="00E72F8D" w:rsidRPr="00957B06" w:rsidRDefault="00E72F8D" w:rsidP="00E72F8D">
            <w:pPr>
              <w:spacing w:before="40"/>
              <w:rPr>
                <w:rFonts w:cs="Calibri"/>
                <w:color w:val="0D0D0D"/>
                <w:spacing w:val="-2"/>
              </w:rPr>
            </w:pPr>
            <w:r w:rsidRPr="00957B06">
              <w:rPr>
                <w:rFonts w:cs="Calibri"/>
                <w:color w:val="0D0D0D"/>
                <w:spacing w:val="-2"/>
              </w:rPr>
              <w:t>324</w:t>
            </w:r>
          </w:p>
          <w:p w14:paraId="4AA90855" w14:textId="77777777" w:rsidR="00E72F8D" w:rsidRPr="00957B06" w:rsidRDefault="00E72F8D" w:rsidP="00E72F8D">
            <w:pPr>
              <w:spacing w:before="40"/>
              <w:rPr>
                <w:rFonts w:cs="Calibri"/>
                <w:color w:val="0D0D0D"/>
                <w:spacing w:val="-2"/>
              </w:rPr>
            </w:pPr>
          </w:p>
          <w:p w14:paraId="51B183AA" w14:textId="77777777" w:rsidR="00E72F8D" w:rsidRPr="00957B06" w:rsidRDefault="00E72F8D" w:rsidP="00E72F8D">
            <w:pPr>
              <w:spacing w:before="40"/>
              <w:rPr>
                <w:rFonts w:cs="Calibri"/>
                <w:color w:val="0D0D0D"/>
                <w:spacing w:val="-2"/>
              </w:rPr>
            </w:pPr>
          </w:p>
          <w:p w14:paraId="2214E1FB" w14:textId="77777777" w:rsidR="00E72F8D" w:rsidRPr="00957B06" w:rsidRDefault="00E72F8D" w:rsidP="00E72F8D">
            <w:pPr>
              <w:spacing w:before="40"/>
              <w:rPr>
                <w:rFonts w:cs="Calibri"/>
                <w:color w:val="0D0D0D"/>
                <w:spacing w:val="-2"/>
              </w:rPr>
            </w:pPr>
          </w:p>
          <w:p w14:paraId="162E3021" w14:textId="77777777" w:rsidR="00E72F8D" w:rsidRPr="00957B06" w:rsidRDefault="00E72F8D" w:rsidP="00E72F8D">
            <w:pPr>
              <w:spacing w:before="40"/>
              <w:rPr>
                <w:rFonts w:cs="Calibri"/>
                <w:color w:val="0D0D0D"/>
                <w:spacing w:val="-2"/>
              </w:rPr>
            </w:pPr>
          </w:p>
          <w:p w14:paraId="64B05145" w14:textId="77777777" w:rsidR="00E72F8D" w:rsidRPr="00957B06" w:rsidRDefault="00E72F8D" w:rsidP="00E72F8D">
            <w:pPr>
              <w:spacing w:before="40"/>
              <w:rPr>
                <w:rFonts w:cs="Calibri"/>
                <w:color w:val="0D0D0D"/>
                <w:spacing w:val="-2"/>
              </w:rPr>
            </w:pPr>
            <w:r w:rsidRPr="00957B06">
              <w:rPr>
                <w:rFonts w:cs="Calibri"/>
                <w:color w:val="0D0D0D"/>
                <w:spacing w:val="-2"/>
              </w:rPr>
              <w:t>273</w:t>
            </w:r>
          </w:p>
          <w:p w14:paraId="5B2AA52C" w14:textId="77777777" w:rsidR="00E72F8D" w:rsidRPr="00957B06" w:rsidRDefault="00E72F8D" w:rsidP="00E72F8D">
            <w:pPr>
              <w:spacing w:before="40"/>
              <w:rPr>
                <w:rFonts w:cs="Calibri"/>
                <w:color w:val="0D0D0D"/>
                <w:spacing w:val="-2"/>
              </w:rPr>
            </w:pPr>
          </w:p>
          <w:p w14:paraId="0E0F7269" w14:textId="77777777" w:rsidR="00E72F8D" w:rsidRPr="00957B06" w:rsidRDefault="00E72F8D" w:rsidP="00E72F8D">
            <w:pPr>
              <w:spacing w:before="40"/>
              <w:rPr>
                <w:rFonts w:cs="Calibri"/>
                <w:color w:val="0D0D0D"/>
                <w:spacing w:val="-2"/>
              </w:rPr>
            </w:pPr>
          </w:p>
          <w:p w14:paraId="27992BE6" w14:textId="561C39FD" w:rsidR="00E72F8D" w:rsidRPr="00957B06" w:rsidRDefault="00E72F8D" w:rsidP="00E72F8D">
            <w:pPr>
              <w:spacing w:before="40"/>
              <w:rPr>
                <w:rFonts w:cs="Calibri"/>
                <w:color w:val="0D0D0D"/>
                <w:spacing w:val="-2"/>
              </w:rPr>
            </w:pPr>
          </w:p>
          <w:p w14:paraId="13E973BB" w14:textId="77777777" w:rsidR="00BE4EF0" w:rsidRPr="00957B06" w:rsidRDefault="00BE4EF0" w:rsidP="00E72F8D">
            <w:pPr>
              <w:spacing w:before="40"/>
              <w:rPr>
                <w:rFonts w:cs="Calibri"/>
                <w:color w:val="0D0D0D"/>
                <w:spacing w:val="-2"/>
              </w:rPr>
            </w:pPr>
          </w:p>
          <w:p w14:paraId="3A35EA36" w14:textId="77777777" w:rsidR="00E72F8D" w:rsidRPr="00957B06" w:rsidRDefault="00E72F8D" w:rsidP="00E72F8D">
            <w:pPr>
              <w:spacing w:before="40"/>
              <w:rPr>
                <w:rFonts w:cs="Calibri"/>
                <w:color w:val="0D0D0D"/>
                <w:spacing w:val="-2"/>
              </w:rPr>
            </w:pPr>
            <w:r w:rsidRPr="00957B06">
              <w:rPr>
                <w:rFonts w:cs="Calibri"/>
                <w:color w:val="0D0D0D"/>
                <w:spacing w:val="-2"/>
              </w:rPr>
              <w:t>17</w:t>
            </w:r>
          </w:p>
          <w:p w14:paraId="4166FF08" w14:textId="77777777" w:rsidR="00E72F8D" w:rsidRPr="00957B06" w:rsidRDefault="00E72F8D" w:rsidP="00E72F8D">
            <w:pPr>
              <w:spacing w:before="40"/>
              <w:rPr>
                <w:rFonts w:cs="Calibri"/>
                <w:color w:val="0D0D0D"/>
                <w:spacing w:val="-2"/>
              </w:rPr>
            </w:pPr>
          </w:p>
          <w:p w14:paraId="2752BD29" w14:textId="77777777" w:rsidR="00E72F8D" w:rsidRPr="00957B06" w:rsidRDefault="00E72F8D" w:rsidP="00E72F8D">
            <w:pPr>
              <w:spacing w:before="40"/>
              <w:rPr>
                <w:rFonts w:cs="Calibri"/>
                <w:color w:val="0D0D0D"/>
                <w:spacing w:val="-2"/>
              </w:rPr>
            </w:pPr>
          </w:p>
          <w:p w14:paraId="2C2F8CE9" w14:textId="77777777" w:rsidR="00E72F8D" w:rsidRPr="00957B06" w:rsidRDefault="00E72F8D" w:rsidP="00E72F8D">
            <w:pPr>
              <w:spacing w:before="40"/>
              <w:rPr>
                <w:rFonts w:cs="Calibri"/>
                <w:color w:val="0D0D0D"/>
                <w:spacing w:val="-2"/>
              </w:rPr>
            </w:pPr>
          </w:p>
          <w:p w14:paraId="373D9745" w14:textId="77777777" w:rsidR="00E72F8D" w:rsidRPr="00957B06" w:rsidRDefault="00E72F8D" w:rsidP="00E72F8D">
            <w:pPr>
              <w:spacing w:before="40"/>
              <w:rPr>
                <w:rFonts w:cs="Calibri"/>
                <w:color w:val="0D0D0D"/>
                <w:spacing w:val="-2"/>
              </w:rPr>
            </w:pPr>
            <w:r w:rsidRPr="00957B06">
              <w:rPr>
                <w:rFonts w:cs="Calibri"/>
                <w:color w:val="0D0D0D"/>
                <w:spacing w:val="-2"/>
              </w:rPr>
              <w:t>1 306</w:t>
            </w:r>
          </w:p>
          <w:p w14:paraId="50E0F6A0" w14:textId="77777777" w:rsidR="00E72F8D" w:rsidRPr="00957B06" w:rsidRDefault="00E72F8D" w:rsidP="00E72F8D">
            <w:pPr>
              <w:spacing w:before="40"/>
              <w:rPr>
                <w:rFonts w:cs="Calibri"/>
                <w:color w:val="0D0D0D"/>
                <w:spacing w:val="-2"/>
              </w:rPr>
            </w:pPr>
          </w:p>
          <w:p w14:paraId="616239AE" w14:textId="77777777" w:rsidR="00E72F8D" w:rsidRPr="00957B06" w:rsidRDefault="00E72F8D" w:rsidP="00E72F8D">
            <w:pPr>
              <w:spacing w:before="40"/>
              <w:rPr>
                <w:rFonts w:cs="Calibri"/>
                <w:color w:val="0D0D0D"/>
                <w:spacing w:val="-2"/>
              </w:rPr>
            </w:pPr>
          </w:p>
          <w:p w14:paraId="104BB516" w14:textId="77777777" w:rsidR="00E72F8D" w:rsidRPr="00957B06" w:rsidRDefault="00E72F8D" w:rsidP="00E72F8D">
            <w:pPr>
              <w:spacing w:before="40"/>
              <w:rPr>
                <w:rFonts w:cs="Calibri"/>
                <w:color w:val="0D0D0D"/>
                <w:spacing w:val="-2"/>
              </w:rPr>
            </w:pPr>
            <w:r w:rsidRPr="00957B06">
              <w:rPr>
                <w:rFonts w:cs="Calibri"/>
                <w:color w:val="0D0D0D"/>
                <w:spacing w:val="-2"/>
              </w:rPr>
              <w:t>133</w:t>
            </w:r>
          </w:p>
          <w:p w14:paraId="487F57B7" w14:textId="77777777" w:rsidR="00E72F8D" w:rsidRPr="00957B06" w:rsidRDefault="00E72F8D" w:rsidP="00E72F8D">
            <w:pPr>
              <w:spacing w:before="40"/>
              <w:rPr>
                <w:rFonts w:cs="Calibri"/>
                <w:color w:val="0D0D0D"/>
                <w:spacing w:val="-2"/>
              </w:rPr>
            </w:pPr>
          </w:p>
          <w:p w14:paraId="45AEE947" w14:textId="77777777" w:rsidR="00E72F8D" w:rsidRPr="00957B06" w:rsidRDefault="00E72F8D" w:rsidP="00E72F8D">
            <w:pPr>
              <w:spacing w:before="40"/>
              <w:rPr>
                <w:rFonts w:cs="Calibri"/>
                <w:color w:val="0D0D0D"/>
                <w:spacing w:val="-2"/>
              </w:rPr>
            </w:pPr>
            <w:r w:rsidRPr="00957B06">
              <w:rPr>
                <w:rFonts w:cs="Calibri"/>
                <w:color w:val="0D0D0D"/>
                <w:spacing w:val="-2"/>
              </w:rPr>
              <w:t>1</w:t>
            </w:r>
          </w:p>
          <w:p w14:paraId="623812BF" w14:textId="77777777" w:rsidR="00E72F8D" w:rsidRPr="00957B06" w:rsidRDefault="00E72F8D" w:rsidP="00E72F8D">
            <w:pPr>
              <w:spacing w:before="40"/>
              <w:rPr>
                <w:rFonts w:cs="Calibri"/>
                <w:color w:val="0D0D0D"/>
                <w:spacing w:val="-2"/>
              </w:rPr>
            </w:pPr>
          </w:p>
          <w:p w14:paraId="1C340DF1" w14:textId="77777777" w:rsidR="00E72F8D" w:rsidRPr="00957B06" w:rsidRDefault="00E72F8D" w:rsidP="00E72F8D">
            <w:pPr>
              <w:spacing w:before="40"/>
              <w:rPr>
                <w:rFonts w:cs="Calibri"/>
                <w:color w:val="0D0D0D"/>
                <w:spacing w:val="-2"/>
              </w:rPr>
            </w:pPr>
            <w:r w:rsidRPr="00957B06">
              <w:rPr>
                <w:rFonts w:cs="Calibri"/>
                <w:color w:val="0D0D0D"/>
                <w:spacing w:val="-2"/>
              </w:rPr>
              <w:t>37</w:t>
            </w:r>
          </w:p>
          <w:p w14:paraId="04A80DC8" w14:textId="77777777" w:rsidR="00E72F8D" w:rsidRPr="00957B06" w:rsidRDefault="00E72F8D" w:rsidP="00E72F8D">
            <w:pPr>
              <w:spacing w:before="40"/>
              <w:rPr>
                <w:rFonts w:cs="Calibri"/>
                <w:color w:val="0D0D0D"/>
                <w:spacing w:val="-2"/>
              </w:rPr>
            </w:pPr>
          </w:p>
          <w:p w14:paraId="511C64F3" w14:textId="77777777" w:rsidR="00BE4EF0" w:rsidRPr="00957B06" w:rsidRDefault="00BE4EF0" w:rsidP="00E72F8D">
            <w:pPr>
              <w:spacing w:before="40"/>
              <w:rPr>
                <w:rFonts w:cs="Calibri"/>
                <w:color w:val="0D0D0D"/>
                <w:spacing w:val="-2"/>
              </w:rPr>
            </w:pPr>
          </w:p>
          <w:p w14:paraId="3E2568BB" w14:textId="7E099815" w:rsidR="00E72F8D" w:rsidRPr="00957B06" w:rsidRDefault="00E72F8D" w:rsidP="00E72F8D">
            <w:pPr>
              <w:spacing w:before="40"/>
              <w:rPr>
                <w:rFonts w:cs="Calibri"/>
                <w:color w:val="0D0D0D"/>
                <w:spacing w:val="-2"/>
              </w:rPr>
            </w:pPr>
            <w:r w:rsidRPr="00957B06">
              <w:rPr>
                <w:rFonts w:cs="Calibri"/>
                <w:color w:val="0D0D0D"/>
                <w:spacing w:val="-2"/>
              </w:rPr>
              <w:t>4 568</w:t>
            </w:r>
          </w:p>
          <w:p w14:paraId="3C2F94D1" w14:textId="77777777" w:rsidR="00E72F8D" w:rsidRPr="00957B06" w:rsidRDefault="00E72F8D" w:rsidP="00E72F8D">
            <w:pPr>
              <w:spacing w:before="40"/>
              <w:rPr>
                <w:rFonts w:cs="Calibri"/>
                <w:color w:val="0D0D0D"/>
                <w:spacing w:val="-2"/>
              </w:rPr>
            </w:pPr>
          </w:p>
          <w:p w14:paraId="086CE953" w14:textId="77777777" w:rsidR="00E72F8D" w:rsidRPr="00957B06" w:rsidRDefault="00E72F8D" w:rsidP="00E72F8D">
            <w:pPr>
              <w:spacing w:before="40"/>
              <w:rPr>
                <w:rFonts w:cs="Calibri"/>
                <w:color w:val="0D0D0D"/>
                <w:spacing w:val="-2"/>
              </w:rPr>
            </w:pPr>
          </w:p>
          <w:p w14:paraId="553FCEFF" w14:textId="77777777" w:rsidR="00E72F8D" w:rsidRPr="00957B06" w:rsidRDefault="00E72F8D" w:rsidP="00E72F8D">
            <w:pPr>
              <w:spacing w:before="40"/>
              <w:rPr>
                <w:rFonts w:cs="Calibri"/>
                <w:color w:val="0D0D0D"/>
                <w:spacing w:val="-2"/>
              </w:rPr>
            </w:pPr>
          </w:p>
          <w:p w14:paraId="0BF4EF2C" w14:textId="77777777" w:rsidR="00E72F8D" w:rsidRPr="00957B06" w:rsidRDefault="00E72F8D" w:rsidP="00E72F8D">
            <w:pPr>
              <w:spacing w:before="40"/>
              <w:rPr>
                <w:rFonts w:cs="Calibri"/>
                <w:color w:val="0D0D0D"/>
                <w:spacing w:val="-2"/>
              </w:rPr>
            </w:pPr>
          </w:p>
          <w:p w14:paraId="4E8818FD" w14:textId="77777777" w:rsidR="00E72F8D" w:rsidRPr="00957B06" w:rsidRDefault="00E72F8D" w:rsidP="00E72F8D">
            <w:pPr>
              <w:spacing w:before="40"/>
              <w:rPr>
                <w:rFonts w:cs="Calibri"/>
                <w:color w:val="0D0D0D"/>
                <w:spacing w:val="-2"/>
              </w:rPr>
            </w:pPr>
          </w:p>
          <w:p w14:paraId="56338FFB" w14:textId="77777777" w:rsidR="00E72F8D" w:rsidRPr="00957B06" w:rsidRDefault="00E72F8D" w:rsidP="00E72F8D">
            <w:pPr>
              <w:spacing w:before="40"/>
              <w:rPr>
                <w:rFonts w:cs="Calibri"/>
                <w:color w:val="0D0D0D"/>
                <w:spacing w:val="-2"/>
              </w:rPr>
            </w:pPr>
          </w:p>
          <w:p w14:paraId="6921251A" w14:textId="48CB35B0" w:rsidR="00E72F8D" w:rsidRPr="00957B06" w:rsidRDefault="00E72F8D" w:rsidP="00E72F8D">
            <w:pPr>
              <w:spacing w:before="40"/>
              <w:rPr>
                <w:rFonts w:cs="Calibri"/>
                <w:color w:val="0D0D0D"/>
                <w:spacing w:val="-2"/>
              </w:rPr>
            </w:pPr>
          </w:p>
          <w:p w14:paraId="37993D19" w14:textId="77777777" w:rsidR="00E72F8D" w:rsidRPr="00957B06" w:rsidRDefault="00E72F8D" w:rsidP="00E72F8D">
            <w:pPr>
              <w:spacing w:before="40"/>
              <w:rPr>
                <w:rFonts w:cs="Calibri"/>
                <w:color w:val="0D0D0D"/>
                <w:spacing w:val="-2"/>
              </w:rPr>
            </w:pPr>
            <w:r w:rsidRPr="00957B06">
              <w:rPr>
                <w:rFonts w:cs="Calibri"/>
                <w:color w:val="0D0D0D"/>
                <w:spacing w:val="-2"/>
              </w:rPr>
              <w:t>18</w:t>
            </w:r>
          </w:p>
          <w:p w14:paraId="0CC9BC15" w14:textId="77777777" w:rsidR="00E72F8D" w:rsidRPr="00957B06" w:rsidRDefault="00E72F8D" w:rsidP="00E72F8D">
            <w:pPr>
              <w:spacing w:before="40"/>
              <w:rPr>
                <w:rFonts w:cs="Calibri"/>
                <w:color w:val="0D0D0D"/>
                <w:spacing w:val="-2"/>
              </w:rPr>
            </w:pPr>
          </w:p>
          <w:p w14:paraId="3241167F" w14:textId="77777777" w:rsidR="00E72F8D" w:rsidRPr="00957B06" w:rsidRDefault="00E72F8D" w:rsidP="00E72F8D">
            <w:pPr>
              <w:spacing w:before="40"/>
              <w:rPr>
                <w:rFonts w:cs="Calibri"/>
                <w:color w:val="0D0D0D"/>
                <w:spacing w:val="-2"/>
              </w:rPr>
            </w:pPr>
          </w:p>
          <w:p w14:paraId="0C8FF597" w14:textId="36D784F8" w:rsidR="00E72F8D" w:rsidRPr="00957B06" w:rsidRDefault="00E72F8D" w:rsidP="00E72F8D">
            <w:pPr>
              <w:spacing w:before="40"/>
              <w:rPr>
                <w:rFonts w:cs="Calibri"/>
                <w:color w:val="0D0D0D"/>
                <w:spacing w:val="-2"/>
              </w:rPr>
            </w:pPr>
          </w:p>
          <w:p w14:paraId="0514E461" w14:textId="77777777" w:rsidR="00E72F8D" w:rsidRPr="00957B06" w:rsidRDefault="00E72F8D" w:rsidP="00E72F8D">
            <w:pPr>
              <w:spacing w:before="40"/>
              <w:rPr>
                <w:rFonts w:cs="Calibri"/>
                <w:color w:val="0D0D0D"/>
                <w:spacing w:val="-2"/>
              </w:rPr>
            </w:pPr>
          </w:p>
          <w:p w14:paraId="09CD69CA" w14:textId="77777777" w:rsidR="00E72F8D" w:rsidRPr="00957B06" w:rsidRDefault="00E72F8D" w:rsidP="00E72F8D">
            <w:pPr>
              <w:spacing w:before="40"/>
              <w:rPr>
                <w:rFonts w:cs="Calibri"/>
                <w:color w:val="000000"/>
                <w:spacing w:val="-2"/>
              </w:rPr>
            </w:pPr>
            <w:r w:rsidRPr="00957B06">
              <w:rPr>
                <w:rFonts w:cs="Calibri"/>
                <w:color w:val="000000"/>
              </w:rPr>
              <w:t>40</w:t>
            </w:r>
          </w:p>
          <w:p w14:paraId="28602C3F" w14:textId="77777777" w:rsidR="00E72F8D" w:rsidRPr="00957B06" w:rsidRDefault="00E72F8D" w:rsidP="00E72F8D">
            <w:pPr>
              <w:spacing w:before="40"/>
              <w:rPr>
                <w:rFonts w:cs="Calibri"/>
                <w:color w:val="000000"/>
                <w:spacing w:val="-2"/>
              </w:rPr>
            </w:pPr>
          </w:p>
          <w:p w14:paraId="0C8E39C4" w14:textId="77777777" w:rsidR="00E72F8D" w:rsidRPr="00957B06" w:rsidRDefault="00E72F8D" w:rsidP="00E72F8D">
            <w:pPr>
              <w:spacing w:before="40"/>
              <w:rPr>
                <w:rFonts w:cs="Calibri"/>
                <w:color w:val="000000"/>
                <w:spacing w:val="-2"/>
              </w:rPr>
            </w:pPr>
            <w:r w:rsidRPr="00957B06">
              <w:rPr>
                <w:rFonts w:cs="Calibri"/>
                <w:color w:val="000000"/>
                <w:spacing w:val="-2"/>
              </w:rPr>
              <w:t>3</w:t>
            </w:r>
          </w:p>
          <w:p w14:paraId="1F56748C" w14:textId="18929CB1" w:rsidR="00E72F8D" w:rsidRPr="00957B06" w:rsidRDefault="00E72F8D" w:rsidP="00E72F8D">
            <w:pPr>
              <w:pStyle w:val="TableParagraph"/>
            </w:pPr>
          </w:p>
        </w:tc>
        <w:tc>
          <w:tcPr>
            <w:tcW w:w="2996" w:type="dxa"/>
            <w:gridSpan w:val="2"/>
          </w:tcPr>
          <w:p w14:paraId="52C1E06C" w14:textId="55E4C6FC" w:rsidR="00E72F8D" w:rsidRPr="00467BD3" w:rsidRDefault="00785197" w:rsidP="00785197">
            <w:pPr>
              <w:spacing w:before="40"/>
              <w:rPr>
                <w:rFonts w:cs="Calibri"/>
                <w:color w:val="000000"/>
              </w:rPr>
            </w:pPr>
            <w:r w:rsidRPr="00957B06">
              <w:rPr>
                <w:rFonts w:eastAsia="Calibri"/>
                <w:color w:val="000000"/>
              </w:rPr>
              <w:lastRenderedPageBreak/>
              <w:t>liczba podmiotów wpisanych w rejestrze REGON, według stanu rejestru na dzień 30 kwietnia</w:t>
            </w:r>
            <w:r w:rsidR="00C43847" w:rsidRPr="00957B06">
              <w:rPr>
                <w:rFonts w:eastAsia="Calibri"/>
                <w:color w:val="000000"/>
              </w:rPr>
              <w:t xml:space="preserve"> </w:t>
            </w:r>
            <w:r w:rsidRPr="00957B06">
              <w:rPr>
                <w:rFonts w:eastAsia="Calibri"/>
                <w:color w:val="000000"/>
              </w:rPr>
              <w:t>2018 r</w:t>
            </w:r>
            <w:r w:rsidRPr="00957B06">
              <w:rPr>
                <w:rFonts w:cs="Calibri"/>
                <w:color w:val="000000"/>
              </w:rPr>
              <w:t>.</w:t>
            </w:r>
            <w:r w:rsidRPr="00467BD3">
              <w:rPr>
                <w:rStyle w:val="Odwoanieprzypisudolnego"/>
                <w:rFonts w:cs="Calibri"/>
                <w:color w:val="000000"/>
              </w:rPr>
              <w:footnoteReference w:id="4"/>
            </w:r>
          </w:p>
        </w:tc>
        <w:tc>
          <w:tcPr>
            <w:tcW w:w="3097" w:type="dxa"/>
          </w:tcPr>
          <w:p w14:paraId="14ED17D5" w14:textId="5EDC2BFC" w:rsidR="00785197" w:rsidRPr="00957B06" w:rsidRDefault="00785197" w:rsidP="00785197">
            <w:pPr>
              <w:spacing w:before="40"/>
              <w:rPr>
                <w:rFonts w:cs="Calibri"/>
                <w:color w:val="000000"/>
                <w:spacing w:val="-2"/>
              </w:rPr>
            </w:pPr>
            <w:r w:rsidRPr="00957B06">
              <w:rPr>
                <w:rFonts w:cs="Calibri"/>
                <w:color w:val="000000"/>
                <w:spacing w:val="-2"/>
              </w:rPr>
              <w:t xml:space="preserve">W zakresie </w:t>
            </w:r>
            <w:r w:rsidR="00EC592E" w:rsidRPr="00957B06">
              <w:rPr>
                <w:rFonts w:cs="Calibri"/>
                <w:color w:val="000000"/>
                <w:spacing w:val="-2"/>
              </w:rPr>
              <w:t xml:space="preserve">obowiązku </w:t>
            </w:r>
            <w:r w:rsidRPr="00957B06">
              <w:rPr>
                <w:rFonts w:cs="Calibri"/>
                <w:color w:val="000000"/>
                <w:spacing w:val="-2"/>
              </w:rPr>
              <w:t>zapewnienia dostępności w aspekcie architektonicznym, cyfrowym oraz informacyjno-</w:t>
            </w:r>
            <w:r w:rsidRPr="00957B06">
              <w:rPr>
                <w:rFonts w:cs="Calibri"/>
                <w:color w:val="000000"/>
                <w:spacing w:val="-2"/>
              </w:rPr>
              <w:lastRenderedPageBreak/>
              <w:t>komunikacyjnym.</w:t>
            </w:r>
          </w:p>
          <w:p w14:paraId="789434CB" w14:textId="158CBA85" w:rsidR="00E83035" w:rsidRPr="00957B06" w:rsidRDefault="00E83035" w:rsidP="00785197">
            <w:pPr>
              <w:spacing w:before="40"/>
              <w:rPr>
                <w:rFonts w:cs="Calibri"/>
                <w:color w:val="000000"/>
                <w:spacing w:val="-2"/>
              </w:rPr>
            </w:pPr>
            <w:r w:rsidRPr="00957B06">
              <w:rPr>
                <w:rFonts w:cs="Calibri"/>
                <w:color w:val="000000"/>
                <w:spacing w:val="-2"/>
              </w:rPr>
              <w:t xml:space="preserve">Zgodnie z danymi z raportowania stanu zapewniania </w:t>
            </w:r>
            <w:r w:rsidR="00984919" w:rsidRPr="00957B06">
              <w:rPr>
                <w:rFonts w:cs="Calibri"/>
                <w:color w:val="000000"/>
                <w:spacing w:val="-2"/>
              </w:rPr>
              <w:t>dostępności</w:t>
            </w:r>
            <w:r w:rsidRPr="00957B06">
              <w:rPr>
                <w:rFonts w:cs="Calibri"/>
                <w:color w:val="000000"/>
                <w:spacing w:val="-2"/>
              </w:rPr>
              <w:t>, które dotychczas prowadzono w 2021</w:t>
            </w:r>
            <w:r w:rsidR="00C43847" w:rsidRPr="00957B06">
              <w:rPr>
                <w:rFonts w:cs="Calibri"/>
                <w:color w:val="000000"/>
                <w:spacing w:val="-2"/>
              </w:rPr>
              <w:t xml:space="preserve"> r. </w:t>
            </w:r>
            <w:r w:rsidRPr="00957B06">
              <w:rPr>
                <w:rFonts w:cs="Calibri"/>
                <w:color w:val="000000"/>
                <w:spacing w:val="-2"/>
              </w:rPr>
              <w:t xml:space="preserve"> i 2025 r raporty wypełnia </w:t>
            </w:r>
            <w:r w:rsidR="00C43847" w:rsidRPr="00957B06">
              <w:rPr>
                <w:rFonts w:cs="Calibri"/>
                <w:color w:val="000000"/>
                <w:spacing w:val="-2"/>
              </w:rPr>
              <w:t xml:space="preserve"> </w:t>
            </w:r>
            <w:r w:rsidRPr="00957B06">
              <w:rPr>
                <w:rFonts w:cs="Calibri"/>
                <w:color w:val="000000"/>
                <w:spacing w:val="-2"/>
              </w:rPr>
              <w:t xml:space="preserve"> 57 </w:t>
            </w:r>
            <w:r w:rsidR="00984919" w:rsidRPr="00957B06">
              <w:rPr>
                <w:rFonts w:cs="Calibri"/>
                <w:color w:val="000000"/>
                <w:spacing w:val="-2"/>
              </w:rPr>
              <w:t>tys</w:t>
            </w:r>
            <w:r w:rsidR="00651D6F" w:rsidRPr="00957B06">
              <w:rPr>
                <w:rFonts w:cs="Calibri"/>
                <w:color w:val="000000"/>
                <w:spacing w:val="-2"/>
              </w:rPr>
              <w:t>. – 6</w:t>
            </w:r>
            <w:r w:rsidR="00312F00" w:rsidRPr="00957B06">
              <w:rPr>
                <w:rFonts w:cs="Calibri"/>
                <w:color w:val="000000"/>
                <w:spacing w:val="-2"/>
              </w:rPr>
              <w:t>0</w:t>
            </w:r>
            <w:r w:rsidR="00651D6F" w:rsidRPr="00957B06">
              <w:rPr>
                <w:rFonts w:cs="Calibri"/>
                <w:color w:val="000000"/>
                <w:spacing w:val="-2"/>
              </w:rPr>
              <w:t xml:space="preserve"> tys</w:t>
            </w:r>
            <w:r w:rsidR="00984919" w:rsidRPr="00957B06">
              <w:rPr>
                <w:rFonts w:cs="Calibri"/>
                <w:color w:val="000000"/>
                <w:spacing w:val="-2"/>
              </w:rPr>
              <w:t xml:space="preserve">. </w:t>
            </w:r>
            <w:r w:rsidRPr="00957B06">
              <w:rPr>
                <w:rFonts w:cs="Calibri"/>
                <w:color w:val="000000"/>
                <w:spacing w:val="-2"/>
              </w:rPr>
              <w:t>podmiotów publicznych. Można uznać że ta liczba podmiotów identyfikuje swoje obowiązki wynikające z ustawy</w:t>
            </w:r>
            <w:r w:rsidR="005C7B6D" w:rsidRPr="00957B06">
              <w:rPr>
                <w:rFonts w:cs="Calibri"/>
                <w:color w:val="000000"/>
                <w:spacing w:val="-2"/>
              </w:rPr>
              <w:t xml:space="preserve"> o zapewnianiu dostępności osobom ze szczególnymi potrzebami (UZD) </w:t>
            </w:r>
            <w:r w:rsidR="00984919" w:rsidRPr="00957B06">
              <w:rPr>
                <w:rFonts w:cs="Calibri"/>
                <w:color w:val="000000"/>
                <w:spacing w:val="-2"/>
              </w:rPr>
              <w:t xml:space="preserve">mimo że ustalone na potrzeby raportowania katalogi podmiotów zobowiązanych do raportowania obejmują ponad 65 tys. podmiotów.  </w:t>
            </w:r>
            <w:r w:rsidRPr="00957B06">
              <w:rPr>
                <w:rFonts w:cs="Calibri"/>
                <w:color w:val="000000"/>
                <w:spacing w:val="-2"/>
              </w:rPr>
              <w:t xml:space="preserve"> </w:t>
            </w:r>
          </w:p>
          <w:p w14:paraId="02D9058A" w14:textId="5AB63169" w:rsidR="00651D6F" w:rsidRPr="00957B06" w:rsidRDefault="00651D6F" w:rsidP="00785197">
            <w:pPr>
              <w:spacing w:before="40"/>
              <w:rPr>
                <w:rFonts w:cs="Calibri"/>
                <w:color w:val="000000"/>
                <w:spacing w:val="-2"/>
              </w:rPr>
            </w:pPr>
          </w:p>
          <w:p w14:paraId="1A925E6B" w14:textId="63659965" w:rsidR="00651D6F" w:rsidRPr="00957B06" w:rsidRDefault="00651D6F" w:rsidP="00651D6F">
            <w:pPr>
              <w:spacing w:before="40"/>
              <w:rPr>
                <w:rFonts w:cs="Calibri"/>
                <w:color w:val="000000"/>
                <w:spacing w:val="-2"/>
              </w:rPr>
            </w:pPr>
            <w:r w:rsidRPr="00957B06">
              <w:rPr>
                <w:rFonts w:cs="Calibri"/>
                <w:color w:val="000000"/>
                <w:spacing w:val="-2"/>
              </w:rPr>
              <w:t xml:space="preserve">Trudnością na poziomie prawa krajowego jest fakt braku jednej  definicji prawnej podmiotu publicznego- co najmniej kilka ustaw np. </w:t>
            </w:r>
            <w:r w:rsidR="008167FF" w:rsidRPr="00957B06">
              <w:rPr>
                <w:rFonts w:cs="Calibri"/>
                <w:color w:val="000000"/>
                <w:spacing w:val="-2"/>
              </w:rPr>
              <w:t xml:space="preserve">Ustawa </w:t>
            </w:r>
            <w:r w:rsidRPr="00957B06">
              <w:rPr>
                <w:rFonts w:cs="Calibri"/>
                <w:color w:val="000000"/>
                <w:spacing w:val="-2"/>
              </w:rPr>
              <w:t>z dnia 11 września 2019 r.</w:t>
            </w:r>
            <w:r w:rsidR="008167FF" w:rsidRPr="00957B06">
              <w:rPr>
                <w:rFonts w:cs="Calibri"/>
                <w:color w:val="000000"/>
                <w:spacing w:val="-2"/>
              </w:rPr>
              <w:t xml:space="preserve"> </w:t>
            </w:r>
            <w:r w:rsidRPr="00957B06">
              <w:rPr>
                <w:rFonts w:cs="Calibri"/>
                <w:color w:val="000000"/>
                <w:spacing w:val="-2"/>
              </w:rPr>
              <w:t>Prawo zamówień publicznych , czy u</w:t>
            </w:r>
            <w:r w:rsidRPr="00957B06">
              <w:t>stawa z</w:t>
            </w:r>
            <w:r w:rsidRPr="00957B06">
              <w:rPr>
                <w:rFonts w:cs="Calibri"/>
                <w:color w:val="000000"/>
                <w:spacing w:val="-2"/>
              </w:rPr>
              <w:t xml:space="preserve"> dnia 17 lutego 2005 r.</w:t>
            </w:r>
            <w:r w:rsidR="008167FF" w:rsidRPr="00957B06">
              <w:rPr>
                <w:rFonts w:cs="Calibri"/>
                <w:color w:val="000000"/>
                <w:spacing w:val="-2"/>
              </w:rPr>
              <w:t xml:space="preserve"> </w:t>
            </w:r>
            <w:r w:rsidRPr="00957B06">
              <w:rPr>
                <w:rFonts w:cs="Calibri"/>
                <w:color w:val="000000"/>
                <w:spacing w:val="-2"/>
              </w:rPr>
              <w:t>o informatyzacji działalności podmiotów realizujących zadania publiczne definiują tę kwestie odmiennie</w:t>
            </w:r>
            <w:r w:rsidR="008167FF" w:rsidRPr="00957B06">
              <w:rPr>
                <w:rFonts w:cs="Calibri"/>
                <w:color w:val="000000"/>
                <w:spacing w:val="-2"/>
              </w:rPr>
              <w:t>.</w:t>
            </w:r>
            <w:r w:rsidRPr="00957B06">
              <w:rPr>
                <w:rFonts w:cs="Calibri"/>
                <w:color w:val="000000"/>
                <w:spacing w:val="-2"/>
              </w:rPr>
              <w:t xml:space="preserve">   </w:t>
            </w:r>
          </w:p>
          <w:p w14:paraId="002BF3D9" w14:textId="6C91155A" w:rsidR="00E72F8D" w:rsidRPr="00957B06" w:rsidRDefault="00E72F8D" w:rsidP="00E72F8D">
            <w:pPr>
              <w:pStyle w:val="TableParagraph"/>
              <w:spacing w:line="233" w:lineRule="exact"/>
            </w:pPr>
          </w:p>
        </w:tc>
      </w:tr>
    </w:tbl>
    <w:p w14:paraId="1012AA28" w14:textId="77777777" w:rsidR="009C15F8" w:rsidRPr="00957B06" w:rsidRDefault="009C15F8">
      <w:pPr>
        <w:spacing w:line="233" w:lineRule="exact"/>
        <w:sectPr w:rsidR="009C15F8" w:rsidRPr="00957B06">
          <w:type w:val="continuous"/>
          <w:pgSz w:w="11910" w:h="16840"/>
          <w:pgMar w:top="520" w:right="300" w:bottom="280" w:left="320" w:header="708" w:footer="708" w:gutter="0"/>
          <w:cols w:space="708"/>
        </w:sectPr>
      </w:pPr>
    </w:p>
    <w:p w14:paraId="3716714F" w14:textId="77777777" w:rsidR="009C15F8" w:rsidRPr="00467BD3" w:rsidRDefault="009C15F8">
      <w:pPr>
        <w:pStyle w:val="Tekstpodstawowy"/>
        <w:spacing w:before="7"/>
        <w:rPr>
          <w:sz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2292"/>
        <w:gridCol w:w="159"/>
        <w:gridCol w:w="2837"/>
        <w:gridCol w:w="3104"/>
      </w:tblGrid>
      <w:tr w:rsidR="00785197" w:rsidRPr="00957B06" w14:paraId="70798BFF" w14:textId="77777777">
        <w:trPr>
          <w:trHeight w:val="252"/>
        </w:trPr>
        <w:tc>
          <w:tcPr>
            <w:tcW w:w="2672" w:type="dxa"/>
          </w:tcPr>
          <w:p w14:paraId="73369711" w14:textId="1FBE25A4" w:rsidR="00785197" w:rsidRPr="00957B06" w:rsidRDefault="00785197" w:rsidP="00785197">
            <w:pPr>
              <w:pStyle w:val="TableParagraph"/>
              <w:ind w:left="0"/>
              <w:rPr>
                <w:rFonts w:cs="Calibri"/>
                <w:color w:val="000000"/>
                <w:spacing w:val="-2"/>
              </w:rPr>
            </w:pPr>
            <w:r w:rsidRPr="00957B06">
              <w:rPr>
                <w:rFonts w:cs="Calibri"/>
                <w:color w:val="000000"/>
                <w:spacing w:val="-2"/>
              </w:rPr>
              <w:t>Osoby ze szczególnymi potrzebami w rozumieniu projektowanej ustawy</w:t>
            </w:r>
          </w:p>
        </w:tc>
        <w:tc>
          <w:tcPr>
            <w:tcW w:w="2292" w:type="dxa"/>
          </w:tcPr>
          <w:p w14:paraId="104E4FA1" w14:textId="28277F28" w:rsidR="00785197" w:rsidRPr="00957B06" w:rsidRDefault="00CB4064" w:rsidP="00785197">
            <w:pPr>
              <w:pStyle w:val="TableParagraph"/>
              <w:ind w:left="0"/>
              <w:rPr>
                <w:rFonts w:cs="Calibri"/>
                <w:color w:val="000000"/>
                <w:spacing w:val="-2"/>
              </w:rPr>
            </w:pPr>
            <w:r w:rsidRPr="00957B06">
              <w:rPr>
                <w:rFonts w:cs="Calibri"/>
                <w:color w:val="000000"/>
                <w:spacing w:val="-2"/>
              </w:rPr>
              <w:t>Szacuje się, że w różnych okresach życia nawet ok. 30% społeczeństwa może doświadczać szczególnych potrzeb</w:t>
            </w:r>
            <w:r w:rsidR="00BF2A8A" w:rsidRPr="00957B06">
              <w:rPr>
                <w:rFonts w:cs="Calibri"/>
                <w:color w:val="000000"/>
                <w:spacing w:val="-2"/>
              </w:rPr>
              <w:t xml:space="preserve">, czyli </w:t>
            </w:r>
            <w:r w:rsidR="00BE4EF0" w:rsidRPr="00957B06">
              <w:rPr>
                <w:rFonts w:cs="Calibri"/>
                <w:color w:val="000000"/>
                <w:spacing w:val="-2"/>
              </w:rPr>
              <w:t>ponad</w:t>
            </w:r>
            <w:r w:rsidR="00BF2A8A" w:rsidRPr="00957B06">
              <w:rPr>
                <w:rFonts w:cs="Calibri"/>
                <w:color w:val="000000"/>
                <w:spacing w:val="-2"/>
              </w:rPr>
              <w:t xml:space="preserve"> 1</w:t>
            </w:r>
            <w:r w:rsidR="00BE4EF0" w:rsidRPr="00957B06">
              <w:rPr>
                <w:rFonts w:cs="Calibri"/>
                <w:color w:val="000000"/>
                <w:spacing w:val="-2"/>
              </w:rPr>
              <w:t>2</w:t>
            </w:r>
            <w:r w:rsidR="00BF2A8A" w:rsidRPr="00957B06">
              <w:rPr>
                <w:rFonts w:cs="Calibri"/>
                <w:color w:val="000000"/>
                <w:spacing w:val="-2"/>
              </w:rPr>
              <w:t xml:space="preserve"> mln osób.</w:t>
            </w:r>
          </w:p>
        </w:tc>
        <w:tc>
          <w:tcPr>
            <w:tcW w:w="2996" w:type="dxa"/>
            <w:gridSpan w:val="2"/>
          </w:tcPr>
          <w:p w14:paraId="27518F0F" w14:textId="71350C3C" w:rsidR="00785197" w:rsidRPr="00957B06" w:rsidRDefault="00BF2A8A" w:rsidP="00785197">
            <w:pPr>
              <w:pStyle w:val="TableParagraph"/>
              <w:spacing w:line="233" w:lineRule="exact"/>
              <w:ind w:left="107"/>
              <w:rPr>
                <w:rFonts w:cs="Calibri"/>
                <w:color w:val="000000"/>
                <w:spacing w:val="-2"/>
              </w:rPr>
            </w:pPr>
            <w:r w:rsidRPr="00957B06">
              <w:rPr>
                <w:rFonts w:cs="Calibri"/>
                <w:color w:val="000000"/>
                <w:spacing w:val="-2"/>
              </w:rPr>
              <w:t>Dane z: stat.gov.pl</w:t>
            </w:r>
            <w:r w:rsidR="00785197" w:rsidRPr="00957B06">
              <w:rPr>
                <w:rFonts w:cs="Calibri"/>
                <w:color w:val="000000"/>
                <w:spacing w:val="-2"/>
              </w:rPr>
              <w:t xml:space="preserve"> </w:t>
            </w:r>
          </w:p>
        </w:tc>
        <w:tc>
          <w:tcPr>
            <w:tcW w:w="3104" w:type="dxa"/>
          </w:tcPr>
          <w:p w14:paraId="7EE9F56E" w14:textId="50DF42F5" w:rsidR="00785197" w:rsidRPr="00957B06" w:rsidRDefault="00785197" w:rsidP="00785197">
            <w:pPr>
              <w:pStyle w:val="TableParagraph"/>
              <w:spacing w:line="233" w:lineRule="exact"/>
              <w:rPr>
                <w:rFonts w:cs="Calibri"/>
                <w:color w:val="000000"/>
                <w:spacing w:val="-2"/>
              </w:rPr>
            </w:pPr>
            <w:r w:rsidRPr="00957B06">
              <w:rPr>
                <w:rFonts w:cs="Calibri"/>
                <w:color w:val="000000"/>
                <w:spacing w:val="-2"/>
              </w:rPr>
              <w:t xml:space="preserve">Korzyści z wprowadzenia ustawy, polegające na poprawie samodzielności i niezależności w korzystaniu z usług podmiotów publicznych. </w:t>
            </w:r>
          </w:p>
        </w:tc>
      </w:tr>
      <w:tr w:rsidR="00785197" w:rsidRPr="00957B06" w14:paraId="5F4C4544" w14:textId="77777777">
        <w:trPr>
          <w:trHeight w:val="252"/>
        </w:trPr>
        <w:tc>
          <w:tcPr>
            <w:tcW w:w="2672" w:type="dxa"/>
          </w:tcPr>
          <w:p w14:paraId="3C99C4A0" w14:textId="6CAF6899" w:rsidR="00785197" w:rsidRPr="00957B06" w:rsidRDefault="00785197" w:rsidP="00785197">
            <w:pPr>
              <w:pStyle w:val="TableParagraph"/>
              <w:ind w:left="0"/>
              <w:rPr>
                <w:rFonts w:cs="Calibri"/>
                <w:color w:val="000000"/>
                <w:spacing w:val="-2"/>
              </w:rPr>
            </w:pPr>
            <w:r w:rsidRPr="00957B06">
              <w:rPr>
                <w:rFonts w:cs="Calibri"/>
                <w:color w:val="000000"/>
                <w:spacing w:val="-2"/>
              </w:rPr>
              <w:t>Spółdzielnie mieszkaniowe, wspólnoty mieszkaniowe, towarzystwa budownictwa społecznego, zarządcy budynków wielorodzinnych</w:t>
            </w:r>
          </w:p>
        </w:tc>
        <w:tc>
          <w:tcPr>
            <w:tcW w:w="2292" w:type="dxa"/>
          </w:tcPr>
          <w:p w14:paraId="171C0EA5" w14:textId="646B22CC" w:rsidR="00BE5EE0" w:rsidRPr="00957B06" w:rsidRDefault="00BE5EE0" w:rsidP="00BE5EE0">
            <w:pPr>
              <w:adjustRightInd w:val="0"/>
              <w:rPr>
                <w:rFonts w:cs="Calibri"/>
                <w:color w:val="000000"/>
                <w:spacing w:val="-2"/>
              </w:rPr>
            </w:pPr>
            <w:r w:rsidRPr="00957B06">
              <w:rPr>
                <w:rFonts w:cs="Calibri"/>
                <w:color w:val="000000"/>
                <w:spacing w:val="-2"/>
              </w:rPr>
              <w:t>spółdzielnie mieszkaniowe – ok. 4,4 tys. podmiotów</w:t>
            </w:r>
          </w:p>
          <w:p w14:paraId="2A6A7E79" w14:textId="611B56C9" w:rsidR="00BE5EE0" w:rsidRPr="00957B06" w:rsidRDefault="00BE5EE0" w:rsidP="00BE5EE0">
            <w:pPr>
              <w:adjustRightInd w:val="0"/>
              <w:rPr>
                <w:rFonts w:cs="Calibri"/>
                <w:color w:val="000000"/>
                <w:spacing w:val="-2"/>
              </w:rPr>
            </w:pPr>
            <w:r w:rsidRPr="00957B06">
              <w:rPr>
                <w:rFonts w:cs="Calibri"/>
                <w:color w:val="000000"/>
                <w:spacing w:val="-2"/>
              </w:rPr>
              <w:t xml:space="preserve">zarządzających ok. 3 438,8 tys. mieszkań, </w:t>
            </w:r>
            <w:r w:rsidRPr="00957B06">
              <w:rPr>
                <w:rFonts w:cs="Calibri"/>
                <w:color w:val="000000"/>
                <w:spacing w:val="-2"/>
              </w:rPr>
              <w:br/>
              <w:t>wspólnoty mieszkaniowe – ok. 186,7</w:t>
            </w:r>
          </w:p>
          <w:p w14:paraId="5282BA14" w14:textId="3C2F987B" w:rsidR="00BE5EE0" w:rsidRPr="00957B06" w:rsidRDefault="00BE5EE0" w:rsidP="00BE5EE0">
            <w:pPr>
              <w:adjustRightInd w:val="0"/>
              <w:rPr>
                <w:rFonts w:cs="Calibri"/>
                <w:color w:val="000000"/>
                <w:spacing w:val="-2"/>
              </w:rPr>
            </w:pPr>
            <w:r w:rsidRPr="00957B06">
              <w:rPr>
                <w:rFonts w:cs="Calibri"/>
                <w:color w:val="000000"/>
                <w:spacing w:val="-2"/>
              </w:rPr>
              <w:t>tys. podmiotów zarządzających ok. 3 873,2 tys. mieszkań,</w:t>
            </w:r>
            <w:r w:rsidRPr="00957B06">
              <w:rPr>
                <w:rFonts w:cs="Calibri"/>
                <w:color w:val="000000"/>
                <w:spacing w:val="-2"/>
              </w:rPr>
              <w:br/>
              <w:t>towarzystwa</w:t>
            </w:r>
          </w:p>
          <w:p w14:paraId="7C296E19" w14:textId="77777777" w:rsidR="00BE5EE0" w:rsidRPr="00957B06" w:rsidRDefault="00BE5EE0" w:rsidP="00BE5EE0">
            <w:pPr>
              <w:adjustRightInd w:val="0"/>
              <w:rPr>
                <w:rFonts w:cs="Calibri"/>
                <w:color w:val="000000"/>
                <w:spacing w:val="-2"/>
              </w:rPr>
            </w:pPr>
            <w:r w:rsidRPr="00957B06">
              <w:rPr>
                <w:rFonts w:cs="Calibri"/>
                <w:color w:val="000000"/>
                <w:spacing w:val="-2"/>
              </w:rPr>
              <w:t>budownictwa społecznego/społeczne inicjatywy mieszkaniowe – ok. 335 podmiotów</w:t>
            </w:r>
          </w:p>
          <w:p w14:paraId="5C71B74E" w14:textId="66B32720" w:rsidR="00BE5EE0" w:rsidRPr="00957B06" w:rsidRDefault="00BE5EE0" w:rsidP="00BE5EE0">
            <w:pPr>
              <w:adjustRightInd w:val="0"/>
              <w:rPr>
                <w:rFonts w:cs="Calibri"/>
                <w:color w:val="000000"/>
                <w:spacing w:val="-2"/>
              </w:rPr>
            </w:pPr>
            <w:r w:rsidRPr="00957B06">
              <w:rPr>
                <w:rFonts w:cs="Calibri"/>
                <w:color w:val="000000"/>
                <w:spacing w:val="-2"/>
              </w:rPr>
              <w:t xml:space="preserve">posiadające ok. 114,3 tys. mieszkań, </w:t>
            </w:r>
            <w:r w:rsidRPr="00957B06">
              <w:rPr>
                <w:rFonts w:cs="Calibri"/>
                <w:color w:val="000000"/>
                <w:spacing w:val="-2"/>
              </w:rPr>
              <w:br/>
              <w:t>2 477 gmin zarządzających ok. 755,7</w:t>
            </w:r>
          </w:p>
          <w:p w14:paraId="11921FDA" w14:textId="77777777" w:rsidR="00BE5EE0" w:rsidRPr="00957B06" w:rsidRDefault="00BE5EE0" w:rsidP="00BE5EE0">
            <w:pPr>
              <w:adjustRightInd w:val="0"/>
              <w:rPr>
                <w:rFonts w:cs="Calibri"/>
                <w:color w:val="000000"/>
                <w:spacing w:val="-2"/>
              </w:rPr>
            </w:pPr>
            <w:r w:rsidRPr="00957B06">
              <w:rPr>
                <w:rFonts w:cs="Calibri"/>
                <w:color w:val="000000"/>
                <w:spacing w:val="-2"/>
              </w:rPr>
              <w:t>tys. mieszkań, dodatkowo ok. 75,5 tys. mieszkań w posiadaniu Skarbu Państwa</w:t>
            </w:r>
          </w:p>
          <w:p w14:paraId="7218FFDE" w14:textId="1A5B37A5" w:rsidR="00785197" w:rsidRPr="00957B06" w:rsidRDefault="00BE5EE0" w:rsidP="00BE5EE0">
            <w:pPr>
              <w:pStyle w:val="TableParagraph"/>
              <w:ind w:left="0"/>
              <w:rPr>
                <w:rFonts w:cs="Calibri"/>
                <w:color w:val="000000"/>
                <w:spacing w:val="-2"/>
              </w:rPr>
            </w:pPr>
            <w:r w:rsidRPr="00957B06">
              <w:rPr>
                <w:rFonts w:cs="Calibri"/>
                <w:color w:val="000000"/>
                <w:spacing w:val="-2"/>
              </w:rPr>
              <w:t>i zakładów pracy</w:t>
            </w:r>
          </w:p>
        </w:tc>
        <w:tc>
          <w:tcPr>
            <w:tcW w:w="2996" w:type="dxa"/>
            <w:gridSpan w:val="2"/>
          </w:tcPr>
          <w:p w14:paraId="441CEE5F" w14:textId="38726B6A" w:rsidR="00785197" w:rsidRPr="00467BD3" w:rsidRDefault="00785197" w:rsidP="00785197">
            <w:pPr>
              <w:pStyle w:val="TableParagraph"/>
              <w:spacing w:line="233" w:lineRule="exact"/>
              <w:ind w:left="107"/>
              <w:rPr>
                <w:rFonts w:cs="Calibri"/>
                <w:color w:val="000000"/>
                <w:spacing w:val="-2"/>
              </w:rPr>
            </w:pPr>
            <w:r w:rsidRPr="00957B06">
              <w:rPr>
                <w:rFonts w:cs="Calibri"/>
                <w:color w:val="000000"/>
                <w:spacing w:val="-2"/>
              </w:rPr>
              <w:t xml:space="preserve">Dane z: </w:t>
            </w:r>
            <w:r w:rsidR="00BE5EE0" w:rsidRPr="00957B06">
              <w:rPr>
                <w:rFonts w:cs="Calibri"/>
                <w:color w:val="000000"/>
                <w:spacing w:val="-2"/>
              </w:rPr>
              <w:t xml:space="preserve">GUS, </w:t>
            </w:r>
            <w:proofErr w:type="spellStart"/>
            <w:r w:rsidR="00BE5EE0" w:rsidRPr="00957B06">
              <w:rPr>
                <w:rFonts w:cs="Calibri"/>
                <w:color w:val="000000"/>
                <w:spacing w:val="-2"/>
              </w:rPr>
              <w:t>MRiT</w:t>
            </w:r>
            <w:proofErr w:type="spellEnd"/>
          </w:p>
        </w:tc>
        <w:tc>
          <w:tcPr>
            <w:tcW w:w="3104" w:type="dxa"/>
          </w:tcPr>
          <w:p w14:paraId="24F17CC5" w14:textId="0F8B36A8" w:rsidR="00785197" w:rsidRPr="00957B06" w:rsidRDefault="00785197" w:rsidP="00785197">
            <w:pPr>
              <w:pStyle w:val="TableParagraph"/>
              <w:spacing w:line="233" w:lineRule="exact"/>
              <w:rPr>
                <w:rFonts w:cs="Calibri"/>
                <w:color w:val="000000"/>
                <w:spacing w:val="-2"/>
              </w:rPr>
            </w:pPr>
            <w:r w:rsidRPr="00957B06">
              <w:rPr>
                <w:rFonts w:cs="Calibri"/>
                <w:color w:val="000000"/>
                <w:spacing w:val="-2"/>
              </w:rPr>
              <w:t>Możliwość poprawy dostępności w budynkach mieszkalnictwa wielorodzinnego.</w:t>
            </w:r>
          </w:p>
        </w:tc>
      </w:tr>
      <w:tr w:rsidR="00785197" w:rsidRPr="00957B06" w14:paraId="0B551205" w14:textId="77777777">
        <w:trPr>
          <w:trHeight w:val="252"/>
        </w:trPr>
        <w:tc>
          <w:tcPr>
            <w:tcW w:w="2672" w:type="dxa"/>
          </w:tcPr>
          <w:p w14:paraId="108308FB" w14:textId="641A8760" w:rsidR="00785197" w:rsidRPr="00957B06" w:rsidRDefault="00785197" w:rsidP="00785197">
            <w:pPr>
              <w:pStyle w:val="TableParagraph"/>
              <w:ind w:left="0"/>
              <w:rPr>
                <w:rFonts w:cs="Calibri"/>
                <w:color w:val="000000"/>
                <w:spacing w:val="-2"/>
              </w:rPr>
            </w:pPr>
            <w:r w:rsidRPr="00957B06">
              <w:rPr>
                <w:rFonts w:cs="Calibri"/>
                <w:color w:val="000000"/>
                <w:spacing w:val="-2"/>
              </w:rPr>
              <w:t xml:space="preserve">Osoby prawne, utworzone w szczególnym celu zaspokajania potrzeb o charakterze powszechnym, niemających charakteru przemysłowego ani handlowego – zgodnie z art. 3 projektu ustawy. </w:t>
            </w:r>
          </w:p>
        </w:tc>
        <w:tc>
          <w:tcPr>
            <w:tcW w:w="2292" w:type="dxa"/>
          </w:tcPr>
          <w:p w14:paraId="0DFC5177" w14:textId="68C8677B" w:rsidR="00785197" w:rsidRPr="00957B06" w:rsidRDefault="00785197" w:rsidP="00785197">
            <w:pPr>
              <w:pStyle w:val="TableParagraph"/>
              <w:ind w:left="0"/>
              <w:rPr>
                <w:rFonts w:cs="Calibri"/>
                <w:color w:val="000000"/>
                <w:spacing w:val="-2"/>
              </w:rPr>
            </w:pPr>
            <w:r w:rsidRPr="00957B06">
              <w:rPr>
                <w:rFonts w:cs="Calibri"/>
                <w:color w:val="000000"/>
                <w:spacing w:val="-2"/>
              </w:rPr>
              <w:t xml:space="preserve">Brak danych do oszacowania </w:t>
            </w:r>
          </w:p>
        </w:tc>
        <w:tc>
          <w:tcPr>
            <w:tcW w:w="2996" w:type="dxa"/>
            <w:gridSpan w:val="2"/>
          </w:tcPr>
          <w:p w14:paraId="23CDF243" w14:textId="6B36D251" w:rsidR="00785197" w:rsidRPr="00957B06" w:rsidRDefault="00785197" w:rsidP="00785197">
            <w:pPr>
              <w:pStyle w:val="TableParagraph"/>
              <w:spacing w:line="233" w:lineRule="exact"/>
              <w:ind w:left="107"/>
              <w:rPr>
                <w:rFonts w:cs="Calibri"/>
                <w:color w:val="000000"/>
                <w:spacing w:val="-2"/>
              </w:rPr>
            </w:pPr>
            <w:r w:rsidRPr="00957B06">
              <w:rPr>
                <w:rFonts w:cs="Calibri"/>
                <w:color w:val="000000"/>
                <w:spacing w:val="-2"/>
              </w:rPr>
              <w:t xml:space="preserve">Brak danych do oszacowania </w:t>
            </w:r>
          </w:p>
        </w:tc>
        <w:tc>
          <w:tcPr>
            <w:tcW w:w="3104" w:type="dxa"/>
          </w:tcPr>
          <w:p w14:paraId="2ED3B860" w14:textId="312F5833" w:rsidR="00785197" w:rsidRPr="00957B06" w:rsidRDefault="00785197" w:rsidP="00785197">
            <w:pPr>
              <w:pStyle w:val="TableParagraph"/>
              <w:spacing w:line="233" w:lineRule="exact"/>
              <w:rPr>
                <w:rFonts w:cs="Calibri"/>
                <w:color w:val="000000"/>
                <w:spacing w:val="-2"/>
              </w:rPr>
            </w:pPr>
            <w:r w:rsidRPr="00957B06">
              <w:rPr>
                <w:rFonts w:cs="Calibri"/>
                <w:color w:val="000000"/>
                <w:spacing w:val="-2"/>
              </w:rPr>
              <w:t xml:space="preserve">W zakresie zapewnienia dostępności w aspekcie architektonicznym, cyfrowym oraz informacyjno-komunikacyjnym o ile spełniają warunki określone w art. 6 ustawy. </w:t>
            </w:r>
          </w:p>
        </w:tc>
      </w:tr>
      <w:tr w:rsidR="00785197" w:rsidRPr="00957B06" w14:paraId="7BA8FA55" w14:textId="77777777">
        <w:trPr>
          <w:trHeight w:val="252"/>
        </w:trPr>
        <w:tc>
          <w:tcPr>
            <w:tcW w:w="2672" w:type="dxa"/>
          </w:tcPr>
          <w:p w14:paraId="45BEAE5A" w14:textId="0826B1D0" w:rsidR="00785197" w:rsidRPr="00957B06" w:rsidRDefault="00785197" w:rsidP="00785197">
            <w:pPr>
              <w:pStyle w:val="TableParagraph"/>
              <w:ind w:left="0"/>
              <w:rPr>
                <w:rFonts w:cs="Calibri"/>
                <w:color w:val="000000"/>
                <w:spacing w:val="-2"/>
              </w:rPr>
            </w:pPr>
            <w:r w:rsidRPr="00957B06">
              <w:rPr>
                <w:rFonts w:cs="Calibri"/>
                <w:color w:val="000000"/>
                <w:spacing w:val="-2"/>
              </w:rPr>
              <w:t xml:space="preserve">Podmioty prywatne (w tym przedsiębiorcy) i organizacje pozarządowe o ile realizują zadania lub zamówienia z wykorzystaniem środków publicznych </w:t>
            </w:r>
          </w:p>
        </w:tc>
        <w:tc>
          <w:tcPr>
            <w:tcW w:w="2292" w:type="dxa"/>
          </w:tcPr>
          <w:p w14:paraId="3F339A36" w14:textId="362E84C8" w:rsidR="00785197" w:rsidRPr="00957B06" w:rsidRDefault="005A12CA" w:rsidP="00785197">
            <w:pPr>
              <w:pStyle w:val="TableParagraph"/>
              <w:ind w:left="0"/>
              <w:rPr>
                <w:rFonts w:cs="Calibri"/>
                <w:color w:val="000000"/>
                <w:spacing w:val="-2"/>
              </w:rPr>
            </w:pPr>
            <w:r w:rsidRPr="00957B06">
              <w:rPr>
                <w:rFonts w:cs="Calibri"/>
                <w:color w:val="000000"/>
                <w:spacing w:val="-2"/>
              </w:rPr>
              <w:t>Dane trudne do oszacowania</w:t>
            </w:r>
            <w:r w:rsidR="00090406" w:rsidRPr="00957B06">
              <w:rPr>
                <w:rFonts w:cs="Calibri"/>
                <w:color w:val="000000"/>
                <w:spacing w:val="-2"/>
              </w:rPr>
              <w:t xml:space="preserve"> </w:t>
            </w:r>
          </w:p>
        </w:tc>
        <w:tc>
          <w:tcPr>
            <w:tcW w:w="2996" w:type="dxa"/>
            <w:gridSpan w:val="2"/>
          </w:tcPr>
          <w:p w14:paraId="39AFCDCD" w14:textId="0022AB0F" w:rsidR="00785197" w:rsidRPr="00957B06" w:rsidRDefault="00CB4064" w:rsidP="00785197">
            <w:pPr>
              <w:pStyle w:val="TableParagraph"/>
              <w:spacing w:line="233" w:lineRule="exact"/>
              <w:ind w:left="107"/>
              <w:rPr>
                <w:rFonts w:cs="Calibri"/>
                <w:color w:val="000000"/>
                <w:spacing w:val="-2"/>
              </w:rPr>
            </w:pPr>
            <w:r w:rsidRPr="00957B06">
              <w:rPr>
                <w:rFonts w:cs="Calibri"/>
                <w:color w:val="000000"/>
                <w:spacing w:val="-2"/>
              </w:rPr>
              <w:t>Dane te są trudne do oszacowania ze względu na dużą zmienność oraz rozproszenie terytorialne i organizacyjne tych podmiotów.</w:t>
            </w:r>
          </w:p>
        </w:tc>
        <w:tc>
          <w:tcPr>
            <w:tcW w:w="3104" w:type="dxa"/>
          </w:tcPr>
          <w:p w14:paraId="2877168D" w14:textId="0ACBAA44" w:rsidR="00785197" w:rsidRPr="00957B06" w:rsidRDefault="00785197" w:rsidP="00785197">
            <w:pPr>
              <w:pStyle w:val="TableParagraph"/>
              <w:spacing w:line="233" w:lineRule="exact"/>
              <w:rPr>
                <w:rFonts w:cs="Calibri"/>
                <w:color w:val="000000"/>
                <w:spacing w:val="-2"/>
              </w:rPr>
            </w:pPr>
            <w:r w:rsidRPr="00957B06">
              <w:rPr>
                <w:rFonts w:cs="Calibri"/>
                <w:color w:val="000000"/>
                <w:spacing w:val="-2"/>
              </w:rPr>
              <w:t xml:space="preserve">Obowiązek zapewniania dostępności w zakresie określonym umową z podmiotem zlecającym. </w:t>
            </w:r>
          </w:p>
        </w:tc>
      </w:tr>
      <w:tr w:rsidR="009C15F8" w:rsidRPr="00957B06" w14:paraId="460D0D83" w14:textId="77777777">
        <w:trPr>
          <w:trHeight w:val="482"/>
        </w:trPr>
        <w:tc>
          <w:tcPr>
            <w:tcW w:w="11064" w:type="dxa"/>
            <w:gridSpan w:val="5"/>
            <w:shd w:val="clear" w:color="auto" w:fill="53A824"/>
          </w:tcPr>
          <w:p w14:paraId="3891A253" w14:textId="77777777" w:rsidR="009C15F8" w:rsidRPr="00957B06" w:rsidRDefault="00E06656">
            <w:pPr>
              <w:pStyle w:val="TableParagraph"/>
              <w:spacing w:before="114"/>
              <w:ind w:left="141"/>
              <w:rPr>
                <w:b/>
              </w:rPr>
            </w:pPr>
            <w:r w:rsidRPr="00957B06">
              <w:rPr>
                <w:b/>
              </w:rPr>
              <w:t>3.</w:t>
            </w:r>
            <w:r w:rsidRPr="00957B06">
              <w:rPr>
                <w:b/>
                <w:spacing w:val="53"/>
              </w:rPr>
              <w:t xml:space="preserve"> </w:t>
            </w:r>
            <w:r w:rsidRPr="00957B06">
              <w:rPr>
                <w:b/>
              </w:rPr>
              <w:t>Celowość</w:t>
            </w:r>
            <w:r w:rsidRPr="00957B06">
              <w:rPr>
                <w:b/>
                <w:spacing w:val="-4"/>
              </w:rPr>
              <w:t xml:space="preserve"> </w:t>
            </w:r>
            <w:r w:rsidRPr="00957B06">
              <w:rPr>
                <w:b/>
              </w:rPr>
              <w:t>wprowadzenia</w:t>
            </w:r>
            <w:r w:rsidRPr="00957B06">
              <w:rPr>
                <w:b/>
                <w:spacing w:val="-4"/>
              </w:rPr>
              <w:t xml:space="preserve"> </w:t>
            </w:r>
            <w:r w:rsidRPr="00957B06">
              <w:rPr>
                <w:b/>
              </w:rPr>
              <w:t>ustawy</w:t>
            </w:r>
            <w:r w:rsidRPr="00957B06">
              <w:rPr>
                <w:b/>
                <w:spacing w:val="-4"/>
              </w:rPr>
              <w:t xml:space="preserve"> </w:t>
            </w:r>
            <w:r w:rsidRPr="00957B06">
              <w:rPr>
                <w:b/>
              </w:rPr>
              <w:t>–</w:t>
            </w:r>
            <w:r w:rsidRPr="00957B06">
              <w:rPr>
                <w:b/>
                <w:spacing w:val="-3"/>
              </w:rPr>
              <w:t xml:space="preserve"> </w:t>
            </w:r>
            <w:r w:rsidRPr="00957B06">
              <w:rPr>
                <w:b/>
              </w:rPr>
              <w:t>zestawienie</w:t>
            </w:r>
            <w:r w:rsidRPr="00957B06">
              <w:rPr>
                <w:b/>
                <w:spacing w:val="-5"/>
              </w:rPr>
              <w:t xml:space="preserve"> </w:t>
            </w:r>
            <w:r w:rsidRPr="00957B06">
              <w:rPr>
                <w:b/>
              </w:rPr>
              <w:t>porównawcze</w:t>
            </w:r>
            <w:r w:rsidRPr="00957B06">
              <w:rPr>
                <w:b/>
                <w:spacing w:val="-5"/>
              </w:rPr>
              <w:t xml:space="preserve"> </w:t>
            </w:r>
            <w:r w:rsidRPr="00957B06">
              <w:rPr>
                <w:b/>
              </w:rPr>
              <w:t>w</w:t>
            </w:r>
            <w:r w:rsidRPr="00957B06">
              <w:rPr>
                <w:b/>
                <w:spacing w:val="-4"/>
              </w:rPr>
              <w:t xml:space="preserve"> </w:t>
            </w:r>
            <w:r w:rsidRPr="00957B06">
              <w:rPr>
                <w:b/>
              </w:rPr>
              <w:t>odniesieniu</w:t>
            </w:r>
            <w:r w:rsidRPr="00957B06">
              <w:rPr>
                <w:b/>
                <w:spacing w:val="-5"/>
              </w:rPr>
              <w:t xml:space="preserve"> </w:t>
            </w:r>
            <w:r w:rsidRPr="00957B06">
              <w:rPr>
                <w:b/>
              </w:rPr>
              <w:t>do</w:t>
            </w:r>
            <w:r w:rsidRPr="00957B06">
              <w:rPr>
                <w:b/>
                <w:spacing w:val="2"/>
              </w:rPr>
              <w:t xml:space="preserve"> </w:t>
            </w:r>
            <w:r w:rsidRPr="00957B06">
              <w:rPr>
                <w:b/>
              </w:rPr>
              <w:t>sytuacji</w:t>
            </w:r>
            <w:r w:rsidRPr="00957B06">
              <w:rPr>
                <w:b/>
                <w:spacing w:val="-5"/>
              </w:rPr>
              <w:t xml:space="preserve"> </w:t>
            </w:r>
            <w:r w:rsidRPr="00957B06">
              <w:rPr>
                <w:b/>
              </w:rPr>
              <w:t>sprzed</w:t>
            </w:r>
            <w:r w:rsidRPr="00957B06">
              <w:rPr>
                <w:b/>
                <w:spacing w:val="-2"/>
              </w:rPr>
              <w:t xml:space="preserve"> zmiany</w:t>
            </w:r>
          </w:p>
        </w:tc>
      </w:tr>
      <w:tr w:rsidR="009C15F8" w:rsidRPr="00957B06" w14:paraId="2D7962CF" w14:textId="77777777">
        <w:trPr>
          <w:trHeight w:val="252"/>
        </w:trPr>
        <w:tc>
          <w:tcPr>
            <w:tcW w:w="5123" w:type="dxa"/>
            <w:gridSpan w:val="3"/>
            <w:shd w:val="clear" w:color="auto" w:fill="53A824"/>
          </w:tcPr>
          <w:p w14:paraId="7DCC3FBD" w14:textId="77777777" w:rsidR="009C15F8" w:rsidRPr="00957B06" w:rsidRDefault="00E06656">
            <w:pPr>
              <w:pStyle w:val="TableParagraph"/>
              <w:spacing w:line="233" w:lineRule="exact"/>
              <w:ind w:left="8"/>
              <w:jc w:val="center"/>
              <w:rPr>
                <w:b/>
                <w:i/>
              </w:rPr>
            </w:pPr>
            <w:r w:rsidRPr="00957B06">
              <w:rPr>
                <w:b/>
              </w:rPr>
              <w:t>Ocena</w:t>
            </w:r>
            <w:r w:rsidRPr="00957B06">
              <w:rPr>
                <w:b/>
                <w:spacing w:val="-3"/>
              </w:rPr>
              <w:t xml:space="preserve"> </w:t>
            </w:r>
            <w:r w:rsidRPr="00957B06">
              <w:rPr>
                <w:b/>
                <w:i/>
              </w:rPr>
              <w:t>ex-</w:t>
            </w:r>
            <w:proofErr w:type="spellStart"/>
            <w:r w:rsidRPr="00957B06">
              <w:rPr>
                <w:b/>
                <w:i/>
                <w:spacing w:val="-4"/>
              </w:rPr>
              <w:t>ante</w:t>
            </w:r>
            <w:proofErr w:type="spellEnd"/>
          </w:p>
        </w:tc>
        <w:tc>
          <w:tcPr>
            <w:tcW w:w="5941" w:type="dxa"/>
            <w:gridSpan w:val="2"/>
            <w:shd w:val="clear" w:color="auto" w:fill="53A824"/>
          </w:tcPr>
          <w:p w14:paraId="1FB63E1B" w14:textId="77777777" w:rsidR="009C15F8" w:rsidRPr="00957B06" w:rsidRDefault="00E06656">
            <w:pPr>
              <w:pStyle w:val="TableParagraph"/>
              <w:spacing w:line="233" w:lineRule="exact"/>
              <w:ind w:left="1"/>
              <w:jc w:val="center"/>
              <w:rPr>
                <w:b/>
                <w:i/>
              </w:rPr>
            </w:pPr>
            <w:r w:rsidRPr="00957B06">
              <w:rPr>
                <w:b/>
              </w:rPr>
              <w:t>Ocena</w:t>
            </w:r>
            <w:r w:rsidRPr="00957B06">
              <w:rPr>
                <w:b/>
                <w:spacing w:val="-3"/>
              </w:rPr>
              <w:t xml:space="preserve"> </w:t>
            </w:r>
            <w:r w:rsidRPr="00957B06">
              <w:rPr>
                <w:b/>
                <w:i/>
              </w:rPr>
              <w:t>ex-</w:t>
            </w:r>
            <w:r w:rsidRPr="00957B06">
              <w:rPr>
                <w:b/>
                <w:i/>
                <w:spacing w:val="-4"/>
              </w:rPr>
              <w:t>post</w:t>
            </w:r>
          </w:p>
        </w:tc>
      </w:tr>
      <w:tr w:rsidR="009C15F8" w:rsidRPr="00957B06" w14:paraId="6461B5AE" w14:textId="77777777">
        <w:trPr>
          <w:trHeight w:val="821"/>
        </w:trPr>
        <w:tc>
          <w:tcPr>
            <w:tcW w:w="5123" w:type="dxa"/>
            <w:gridSpan w:val="3"/>
            <w:shd w:val="clear" w:color="auto" w:fill="53A824"/>
          </w:tcPr>
          <w:p w14:paraId="24D0603D" w14:textId="77777777" w:rsidR="009C15F8" w:rsidRPr="00957B06" w:rsidRDefault="00E06656">
            <w:pPr>
              <w:pStyle w:val="TableParagraph"/>
              <w:spacing w:before="120" w:line="276" w:lineRule="auto"/>
              <w:ind w:left="2249" w:right="92" w:hanging="2059"/>
            </w:pPr>
            <w:r w:rsidRPr="00957B06">
              <w:t>3.1</w:t>
            </w:r>
            <w:r w:rsidRPr="00957B06">
              <w:rPr>
                <w:spacing w:val="-8"/>
              </w:rPr>
              <w:t xml:space="preserve"> </w:t>
            </w:r>
            <w:r w:rsidRPr="00957B06">
              <w:t>Zakładane</w:t>
            </w:r>
            <w:r w:rsidRPr="00957B06">
              <w:rPr>
                <w:spacing w:val="-9"/>
              </w:rPr>
              <w:t xml:space="preserve"> </w:t>
            </w:r>
            <w:r w:rsidRPr="00957B06">
              <w:t>cele</w:t>
            </w:r>
            <w:r w:rsidRPr="00957B06">
              <w:rPr>
                <w:spacing w:val="-7"/>
              </w:rPr>
              <w:t xml:space="preserve"> </w:t>
            </w:r>
            <w:r w:rsidRPr="00957B06">
              <w:t>(oczekiwany</w:t>
            </w:r>
            <w:r w:rsidRPr="00957B06">
              <w:rPr>
                <w:spacing w:val="-8"/>
              </w:rPr>
              <w:t xml:space="preserve"> </w:t>
            </w:r>
            <w:r w:rsidRPr="00957B06">
              <w:t>efekt)</w:t>
            </w:r>
            <w:r w:rsidRPr="00957B06">
              <w:rPr>
                <w:spacing w:val="-8"/>
              </w:rPr>
              <w:t xml:space="preserve"> </w:t>
            </w:r>
            <w:r w:rsidRPr="00957B06">
              <w:t xml:space="preserve">wprowadzenia </w:t>
            </w:r>
            <w:r w:rsidRPr="00957B06">
              <w:rPr>
                <w:spacing w:val="-2"/>
              </w:rPr>
              <w:t>ustawy</w:t>
            </w:r>
          </w:p>
        </w:tc>
        <w:tc>
          <w:tcPr>
            <w:tcW w:w="5941" w:type="dxa"/>
            <w:gridSpan w:val="2"/>
            <w:shd w:val="clear" w:color="auto" w:fill="53A824"/>
          </w:tcPr>
          <w:p w14:paraId="6908D11C" w14:textId="77777777" w:rsidR="009C15F8" w:rsidRPr="00957B06" w:rsidRDefault="009C15F8">
            <w:pPr>
              <w:pStyle w:val="TableParagraph"/>
              <w:spacing w:before="31"/>
              <w:ind w:left="0"/>
            </w:pPr>
          </w:p>
          <w:p w14:paraId="124B0DEB" w14:textId="77777777" w:rsidR="009C15F8" w:rsidRPr="00957B06" w:rsidRDefault="00E06656">
            <w:pPr>
              <w:pStyle w:val="TableParagraph"/>
              <w:ind w:left="1406"/>
            </w:pPr>
            <w:r w:rsidRPr="00957B06">
              <w:t>3.3</w:t>
            </w:r>
            <w:r w:rsidRPr="00957B06">
              <w:rPr>
                <w:spacing w:val="-4"/>
              </w:rPr>
              <w:t xml:space="preserve"> </w:t>
            </w:r>
            <w:r w:rsidRPr="00957B06">
              <w:t>Stopień</w:t>
            </w:r>
            <w:r w:rsidRPr="00957B06">
              <w:rPr>
                <w:spacing w:val="-3"/>
              </w:rPr>
              <w:t xml:space="preserve"> </w:t>
            </w:r>
            <w:r w:rsidRPr="00957B06">
              <w:t>realizacji</w:t>
            </w:r>
            <w:r w:rsidRPr="00957B06">
              <w:rPr>
                <w:spacing w:val="-4"/>
              </w:rPr>
              <w:t xml:space="preserve"> </w:t>
            </w:r>
            <w:r w:rsidRPr="00957B06">
              <w:t>celów</w:t>
            </w:r>
            <w:r w:rsidRPr="00957B06">
              <w:rPr>
                <w:spacing w:val="-4"/>
              </w:rPr>
              <w:t xml:space="preserve"> </w:t>
            </w:r>
            <w:r w:rsidRPr="00957B06">
              <w:rPr>
                <w:spacing w:val="-2"/>
              </w:rPr>
              <w:t>ustawy</w:t>
            </w:r>
          </w:p>
        </w:tc>
      </w:tr>
      <w:tr w:rsidR="009C15F8" w:rsidRPr="00957B06" w14:paraId="45A434A2" w14:textId="77777777" w:rsidTr="00AC6EF7">
        <w:trPr>
          <w:trHeight w:val="1060"/>
        </w:trPr>
        <w:tc>
          <w:tcPr>
            <w:tcW w:w="5123" w:type="dxa"/>
            <w:gridSpan w:val="3"/>
            <w:tcBorders>
              <w:bottom w:val="single" w:sz="4" w:space="0" w:color="auto"/>
            </w:tcBorders>
          </w:tcPr>
          <w:p w14:paraId="76A5C7BD" w14:textId="1EDC9304" w:rsidR="00E452CE" w:rsidRPr="00957B06" w:rsidRDefault="00E452CE" w:rsidP="00610AA3">
            <w:pPr>
              <w:pStyle w:val="TableParagraph"/>
              <w:ind w:left="0"/>
              <w:rPr>
                <w:rFonts w:cs="Calibri"/>
                <w:color w:val="000000"/>
                <w:spacing w:val="-2"/>
              </w:rPr>
            </w:pPr>
            <w:r w:rsidRPr="00957B06">
              <w:rPr>
                <w:rFonts w:cs="Calibri"/>
                <w:color w:val="000000"/>
                <w:spacing w:val="-2"/>
              </w:rPr>
              <w:t xml:space="preserve">Rozwiązania przyjęte w projekcie ustawy </w:t>
            </w:r>
            <w:r w:rsidR="001C7107" w:rsidRPr="00957B06">
              <w:rPr>
                <w:rFonts w:cs="Calibri"/>
                <w:color w:val="000000"/>
                <w:spacing w:val="-2"/>
              </w:rPr>
              <w:t xml:space="preserve">miały </w:t>
            </w:r>
            <w:r w:rsidRPr="00957B06">
              <w:rPr>
                <w:rFonts w:cs="Calibri"/>
                <w:color w:val="000000"/>
                <w:spacing w:val="-2"/>
              </w:rPr>
              <w:t xml:space="preserve">przyczynić się do zwiększenia dostępności architektonicznej, cyfrowej i informacyjno- komunikacyjnej w obszarach, za które odpowiedzialne są podmioty publiczne, realizujące zadania publiczne, </w:t>
            </w:r>
            <w:r w:rsidR="001C7107" w:rsidRPr="00957B06">
              <w:rPr>
                <w:rFonts w:cs="Calibri"/>
                <w:color w:val="000000"/>
                <w:spacing w:val="-2"/>
              </w:rPr>
              <w:t xml:space="preserve">tak by stały </w:t>
            </w:r>
            <w:r w:rsidRPr="00957B06">
              <w:rPr>
                <w:rFonts w:cs="Calibri"/>
                <w:color w:val="000000"/>
                <w:spacing w:val="-2"/>
              </w:rPr>
              <w:t xml:space="preserve">się powszechnym elementem działań, dzięki którym obiekty, instytucje, informacje, usługi i świadczenia w zakresie życia społecznego, politycznego, gospodarczego i kulturalnego będą na równi dostępne dla osób z niepełnosprawnościami. Jednocześnie, podejmując </w:t>
            </w:r>
            <w:r w:rsidR="00174673" w:rsidRPr="00957B06">
              <w:rPr>
                <w:rFonts w:cs="Calibri"/>
                <w:color w:val="000000"/>
                <w:spacing w:val="-2"/>
              </w:rPr>
              <w:t>działania</w:t>
            </w:r>
            <w:r w:rsidRPr="00957B06">
              <w:rPr>
                <w:rFonts w:cs="Calibri"/>
                <w:color w:val="000000"/>
                <w:spacing w:val="-2"/>
              </w:rPr>
              <w:t xml:space="preserve"> na rzecz poprawy dostępności podmiotów publicznych, należy wziąć pod uwagę związane z tym </w:t>
            </w:r>
            <w:r w:rsidRPr="00957B06">
              <w:rPr>
                <w:rFonts w:cs="Calibri"/>
                <w:color w:val="000000"/>
                <w:spacing w:val="-2"/>
              </w:rPr>
              <w:lastRenderedPageBreak/>
              <w:t xml:space="preserve">skutki społeczno-gospodarcze. Można je podzielić na dwa rodzaje: </w:t>
            </w:r>
          </w:p>
          <w:p w14:paraId="1DF8DAA6" w14:textId="6EE8D07E" w:rsidR="006D026C" w:rsidRPr="00957B06" w:rsidRDefault="006D026C" w:rsidP="00E452CE">
            <w:pPr>
              <w:spacing w:after="120"/>
              <w:rPr>
                <w:rFonts w:cs="Calibri"/>
                <w:b/>
              </w:rPr>
            </w:pPr>
          </w:p>
          <w:p w14:paraId="749368D5" w14:textId="5629A558" w:rsidR="006D026C" w:rsidRPr="00957B06" w:rsidRDefault="006D026C" w:rsidP="00E452CE">
            <w:pPr>
              <w:spacing w:after="120"/>
              <w:rPr>
                <w:rFonts w:cs="Calibri"/>
                <w:b/>
              </w:rPr>
            </w:pPr>
          </w:p>
          <w:p w14:paraId="16B90573" w14:textId="5312D682" w:rsidR="006D026C" w:rsidRPr="00957B06" w:rsidRDefault="006D026C" w:rsidP="00E452CE">
            <w:pPr>
              <w:spacing w:after="120"/>
              <w:rPr>
                <w:rFonts w:cs="Calibri"/>
                <w:b/>
              </w:rPr>
            </w:pPr>
          </w:p>
          <w:p w14:paraId="70D9D117" w14:textId="6F37475A" w:rsidR="006D026C" w:rsidRPr="00957B06" w:rsidRDefault="006D026C" w:rsidP="00E452CE">
            <w:pPr>
              <w:spacing w:after="120"/>
              <w:rPr>
                <w:rFonts w:cs="Calibri"/>
                <w:b/>
              </w:rPr>
            </w:pPr>
          </w:p>
          <w:p w14:paraId="36B94C65" w14:textId="77777777" w:rsidR="006D026C" w:rsidRPr="00957B06" w:rsidRDefault="006D026C" w:rsidP="00E452CE">
            <w:pPr>
              <w:spacing w:after="120"/>
              <w:rPr>
                <w:rFonts w:cs="Calibri"/>
                <w:b/>
                <w:color w:val="000000"/>
                <w:spacing w:val="-2"/>
              </w:rPr>
            </w:pPr>
          </w:p>
          <w:p w14:paraId="3753ED5D" w14:textId="27166000" w:rsidR="00FA7376" w:rsidRPr="00957B06" w:rsidRDefault="00FA7376" w:rsidP="00FA7376">
            <w:pPr>
              <w:widowControl/>
              <w:autoSpaceDE/>
              <w:autoSpaceDN/>
              <w:spacing w:after="120"/>
              <w:ind w:left="720"/>
              <w:rPr>
                <w:rFonts w:cs="Calibri"/>
                <w:b/>
              </w:rPr>
            </w:pPr>
          </w:p>
          <w:p w14:paraId="307A0841" w14:textId="0326F9EC" w:rsidR="0022730B" w:rsidRPr="00957B06" w:rsidRDefault="0022730B" w:rsidP="00395418">
            <w:pPr>
              <w:widowControl/>
              <w:autoSpaceDE/>
              <w:autoSpaceDN/>
              <w:spacing w:after="120"/>
              <w:rPr>
                <w:rFonts w:cs="Calibri"/>
                <w:b/>
              </w:rPr>
            </w:pPr>
          </w:p>
          <w:p w14:paraId="094E90DB" w14:textId="77777777" w:rsidR="00395418" w:rsidRPr="00957B06" w:rsidRDefault="00395418" w:rsidP="00395418">
            <w:pPr>
              <w:widowControl/>
              <w:autoSpaceDE/>
              <w:autoSpaceDN/>
              <w:spacing w:after="120"/>
              <w:rPr>
                <w:rFonts w:cs="Calibri"/>
                <w:b/>
              </w:rPr>
            </w:pPr>
          </w:p>
          <w:p w14:paraId="697E78F4" w14:textId="33F30FD1" w:rsidR="0022730B" w:rsidRPr="00957B06" w:rsidRDefault="0022730B" w:rsidP="00FA7376">
            <w:pPr>
              <w:widowControl/>
              <w:autoSpaceDE/>
              <w:autoSpaceDN/>
              <w:spacing w:after="120"/>
              <w:ind w:left="720"/>
              <w:rPr>
                <w:rFonts w:cs="Calibri"/>
                <w:b/>
              </w:rPr>
            </w:pPr>
          </w:p>
          <w:p w14:paraId="0EB2A357" w14:textId="7630EEFC" w:rsidR="0022730B" w:rsidRPr="00957B06" w:rsidRDefault="0022730B" w:rsidP="00FA7376">
            <w:pPr>
              <w:widowControl/>
              <w:autoSpaceDE/>
              <w:autoSpaceDN/>
              <w:spacing w:after="120"/>
              <w:ind w:left="720"/>
              <w:rPr>
                <w:rFonts w:cs="Calibri"/>
                <w:b/>
              </w:rPr>
            </w:pPr>
          </w:p>
          <w:p w14:paraId="4E4D2418" w14:textId="651110BB" w:rsidR="0022730B" w:rsidRPr="00957B06" w:rsidRDefault="0022730B" w:rsidP="00FA7376">
            <w:pPr>
              <w:widowControl/>
              <w:autoSpaceDE/>
              <w:autoSpaceDN/>
              <w:spacing w:after="120"/>
              <w:ind w:left="720"/>
              <w:rPr>
                <w:rFonts w:cs="Calibri"/>
                <w:b/>
              </w:rPr>
            </w:pPr>
          </w:p>
          <w:p w14:paraId="5ABBC1C1" w14:textId="7004F190" w:rsidR="000013FC" w:rsidRPr="00957B06" w:rsidRDefault="000013FC" w:rsidP="00FA7376">
            <w:pPr>
              <w:widowControl/>
              <w:autoSpaceDE/>
              <w:autoSpaceDN/>
              <w:spacing w:after="120"/>
              <w:ind w:left="720"/>
              <w:rPr>
                <w:rFonts w:cs="Calibri"/>
                <w:b/>
              </w:rPr>
            </w:pPr>
          </w:p>
          <w:p w14:paraId="08B40319" w14:textId="7CE78B34" w:rsidR="000013FC" w:rsidRPr="00957B06" w:rsidRDefault="000013FC" w:rsidP="00FA7376">
            <w:pPr>
              <w:widowControl/>
              <w:autoSpaceDE/>
              <w:autoSpaceDN/>
              <w:spacing w:after="120"/>
              <w:ind w:left="720"/>
              <w:rPr>
                <w:rFonts w:cs="Calibri"/>
                <w:b/>
              </w:rPr>
            </w:pPr>
          </w:p>
          <w:p w14:paraId="59D441C6" w14:textId="361731A7" w:rsidR="000013FC" w:rsidRPr="00957B06" w:rsidRDefault="000013FC" w:rsidP="00FA7376">
            <w:pPr>
              <w:widowControl/>
              <w:autoSpaceDE/>
              <w:autoSpaceDN/>
              <w:spacing w:after="120"/>
              <w:ind w:left="720"/>
              <w:rPr>
                <w:rFonts w:cs="Calibri"/>
                <w:b/>
              </w:rPr>
            </w:pPr>
          </w:p>
          <w:p w14:paraId="32D89621" w14:textId="77777777" w:rsidR="008A55EB" w:rsidRPr="00957B06" w:rsidRDefault="008A55EB" w:rsidP="00FA7376">
            <w:pPr>
              <w:widowControl/>
              <w:autoSpaceDE/>
              <w:autoSpaceDN/>
              <w:spacing w:after="120"/>
              <w:ind w:left="720"/>
              <w:rPr>
                <w:rFonts w:cs="Calibri"/>
                <w:b/>
              </w:rPr>
            </w:pPr>
          </w:p>
          <w:p w14:paraId="50EC965E" w14:textId="29C5E03A" w:rsidR="00E452CE" w:rsidRPr="00957B06" w:rsidRDefault="00E452CE" w:rsidP="004F013E">
            <w:pPr>
              <w:widowControl/>
              <w:numPr>
                <w:ilvl w:val="0"/>
                <w:numId w:val="5"/>
              </w:numPr>
              <w:autoSpaceDE/>
              <w:autoSpaceDN/>
              <w:spacing w:after="120"/>
              <w:rPr>
                <w:rFonts w:cs="Calibri"/>
                <w:b/>
              </w:rPr>
            </w:pPr>
            <w:r w:rsidRPr="00957B06">
              <w:rPr>
                <w:rFonts w:cs="Calibri"/>
                <w:b/>
              </w:rPr>
              <w:t>Efekty społeczne</w:t>
            </w:r>
          </w:p>
          <w:p w14:paraId="1F5185F8" w14:textId="03E0C494" w:rsidR="00E452CE" w:rsidRPr="00957B06" w:rsidRDefault="00E452CE" w:rsidP="00610AA3">
            <w:pPr>
              <w:pStyle w:val="TableParagraph"/>
              <w:ind w:left="0"/>
              <w:rPr>
                <w:rFonts w:cs="Calibri"/>
                <w:color w:val="000000"/>
                <w:spacing w:val="-2"/>
              </w:rPr>
            </w:pPr>
            <w:r w:rsidRPr="00957B06">
              <w:rPr>
                <w:rFonts w:cs="Calibri"/>
                <w:color w:val="000000"/>
                <w:spacing w:val="-2"/>
              </w:rPr>
              <w:t xml:space="preserve">Przyjęte na podstawie ustawy rozwiązania architektoniczne czy komunikacyjne </w:t>
            </w:r>
            <w:r w:rsidR="001C7107" w:rsidRPr="00957B06">
              <w:rPr>
                <w:rFonts w:cs="Calibri"/>
                <w:color w:val="000000"/>
                <w:spacing w:val="-2"/>
              </w:rPr>
              <w:t xml:space="preserve">miały </w:t>
            </w:r>
            <w:r w:rsidRPr="00957B06">
              <w:rPr>
                <w:rFonts w:cs="Calibri"/>
                <w:color w:val="000000"/>
                <w:spacing w:val="-2"/>
              </w:rPr>
              <w:t>wychodzić naprzeciw oczekiwaniom i potrzebom zarówno seniorów jak i os</w:t>
            </w:r>
            <w:r w:rsidR="007D1EFA" w:rsidRPr="00957B06">
              <w:rPr>
                <w:rFonts w:cs="Calibri"/>
                <w:color w:val="000000"/>
                <w:spacing w:val="-2"/>
              </w:rPr>
              <w:t>obom ze szczególnymi potrzebami</w:t>
            </w:r>
            <w:r w:rsidRPr="00957B06">
              <w:rPr>
                <w:rFonts w:cs="Calibri"/>
                <w:color w:val="000000"/>
                <w:spacing w:val="-2"/>
              </w:rPr>
              <w:t xml:space="preserve">. Ze względu jednak na uniwersalny charakter planowanych rozwiązań, </w:t>
            </w:r>
            <w:r w:rsidR="00D550B1" w:rsidRPr="00957B06">
              <w:rPr>
                <w:rFonts w:cs="Calibri"/>
                <w:color w:val="000000"/>
                <w:spacing w:val="-2"/>
              </w:rPr>
              <w:t>mogą</w:t>
            </w:r>
            <w:r w:rsidRPr="00957B06">
              <w:rPr>
                <w:rFonts w:cs="Calibri"/>
                <w:color w:val="000000"/>
                <w:spacing w:val="-2"/>
              </w:rPr>
              <w:t xml:space="preserve"> one służy</w:t>
            </w:r>
            <w:r w:rsidR="00D550B1" w:rsidRPr="00957B06">
              <w:rPr>
                <w:rFonts w:cs="Calibri"/>
                <w:color w:val="000000"/>
                <w:spacing w:val="-2"/>
              </w:rPr>
              <w:t>ć</w:t>
            </w:r>
            <w:r w:rsidRPr="00957B06">
              <w:rPr>
                <w:rFonts w:cs="Calibri"/>
                <w:color w:val="000000"/>
                <w:spacing w:val="-2"/>
              </w:rPr>
              <w:t xml:space="preserve"> także </w:t>
            </w:r>
            <w:r w:rsidR="00CA6BAA" w:rsidRPr="00957B06">
              <w:rPr>
                <w:rFonts w:cs="Calibri"/>
                <w:color w:val="000000"/>
                <w:spacing w:val="-2"/>
              </w:rPr>
              <w:t>osobom bez szczególnych potrzeb</w:t>
            </w:r>
            <w:r w:rsidRPr="00957B06">
              <w:rPr>
                <w:rFonts w:cs="Calibri"/>
                <w:color w:val="000000"/>
                <w:spacing w:val="-2"/>
              </w:rPr>
              <w:t xml:space="preserve"> (np. windy, podjazdy, informacja głosowa, oznaczenia dotykowe). </w:t>
            </w:r>
            <w:r w:rsidR="00FA7376" w:rsidRPr="00957B06">
              <w:rPr>
                <w:rFonts w:cs="Calibri"/>
                <w:color w:val="000000"/>
                <w:spacing w:val="-2"/>
              </w:rPr>
              <w:br/>
            </w:r>
            <w:r w:rsidRPr="00957B06">
              <w:rPr>
                <w:rFonts w:cs="Calibri"/>
                <w:color w:val="000000"/>
                <w:spacing w:val="-2"/>
              </w:rPr>
              <w:t xml:space="preserve">To co jest dostępne dla osób ze szczególnymi potrzebami jest najczęściej także przyjazne i bezpieczne dla ogółu społeczeństwa. Ocenia się, że nawet ok. 30% społeczeństwa może mieć trwałe lub czasowe ograniczenia w zakresie mobilności czy percepcji. Należą do nich: ludzie poruszający się przy pomocy sprzętu wspomagającego (nie tylko osoby niepełnosprawne, ale także seniorzy tj. kul, lasek, balkoników, protez, wózków inwalidzkich), z uszkodzonym narządem słuchu, wzroku, z trudnościami manualnymi i poznawczymi (np. po udarze), w ciąży, z wózkiem dziecięcym, z ciężkim bagażem oraz innych słabszych fizycznie (np. w wyniku choroby) i mających trudności w poruszaniu się. Przewidywane </w:t>
            </w:r>
            <w:r w:rsidR="00CF233B" w:rsidRPr="00957B06">
              <w:rPr>
                <w:rFonts w:cs="Calibri"/>
                <w:color w:val="000000"/>
                <w:spacing w:val="-2"/>
              </w:rPr>
              <w:t xml:space="preserve">w OSR </w:t>
            </w:r>
            <w:r w:rsidRPr="00957B06">
              <w:rPr>
                <w:rFonts w:cs="Calibri"/>
                <w:color w:val="000000"/>
                <w:spacing w:val="-2"/>
              </w:rPr>
              <w:t>skutki społeczne niniejszej ustawy to:</w:t>
            </w:r>
          </w:p>
          <w:p w14:paraId="02C0A444" w14:textId="56159DBF" w:rsidR="00101A09" w:rsidRPr="00957B06" w:rsidRDefault="0073431A" w:rsidP="00CF233B">
            <w:pPr>
              <w:widowControl/>
              <w:autoSpaceDE/>
              <w:autoSpaceDN/>
              <w:spacing w:after="120"/>
              <w:ind w:left="164" w:hanging="164"/>
              <w:rPr>
                <w:rFonts w:cs="Calibri"/>
              </w:rPr>
            </w:pPr>
            <w:r w:rsidRPr="00957B06">
              <w:rPr>
                <w:rFonts w:cs="Calibri"/>
              </w:rPr>
              <w:t xml:space="preserve">1. </w:t>
            </w:r>
            <w:r w:rsidR="00E452CE" w:rsidRPr="00957B06">
              <w:rPr>
                <w:rFonts w:cs="Calibri"/>
              </w:rPr>
              <w:t>pełniejsza realizacja praw człowieka do niezależnego i samodzielnego życia oraz do udziału w życiu zarówno lokalnej społeczności, jak i poczucie przynależności do wspólnoty narodowej;</w:t>
            </w:r>
          </w:p>
          <w:p w14:paraId="0D655099" w14:textId="573A0965" w:rsidR="006320EB" w:rsidRPr="00957B06" w:rsidRDefault="0073431A" w:rsidP="00CF233B">
            <w:pPr>
              <w:widowControl/>
              <w:autoSpaceDE/>
              <w:autoSpaceDN/>
              <w:spacing w:after="120"/>
              <w:ind w:left="164" w:hanging="164"/>
              <w:rPr>
                <w:rFonts w:cs="Calibri"/>
              </w:rPr>
            </w:pPr>
            <w:r w:rsidRPr="00957B06">
              <w:rPr>
                <w:rFonts w:cs="Calibri"/>
              </w:rPr>
              <w:t xml:space="preserve">2. </w:t>
            </w:r>
            <w:r w:rsidR="00E452CE" w:rsidRPr="00957B06">
              <w:rPr>
                <w:rFonts w:cs="Calibri"/>
              </w:rPr>
              <w:t>realne wsparcie osób ze szczególnymi potrzebami i ich rodzin w codziennym funkcjonowaniu społecznym;</w:t>
            </w:r>
          </w:p>
          <w:p w14:paraId="014BFE2A" w14:textId="594883AF" w:rsidR="006320EB" w:rsidRPr="00957B06" w:rsidRDefault="0073431A" w:rsidP="00CF233B">
            <w:pPr>
              <w:widowControl/>
              <w:autoSpaceDE/>
              <w:autoSpaceDN/>
              <w:spacing w:after="120"/>
              <w:ind w:left="164" w:hanging="164"/>
              <w:rPr>
                <w:rFonts w:cs="Calibri"/>
              </w:rPr>
            </w:pPr>
            <w:r w:rsidRPr="00957B06">
              <w:rPr>
                <w:rFonts w:cs="Calibri"/>
              </w:rPr>
              <w:t xml:space="preserve">3. </w:t>
            </w:r>
            <w:r w:rsidR="00E452CE" w:rsidRPr="00957B06">
              <w:rPr>
                <w:rFonts w:cs="Calibri"/>
              </w:rPr>
              <w:t>poprawa spójności społecznej, poprzez włączenie grup najbardziej zagrożonych ryzykiem marginalizacji i umożliwienie im korzystania z życia publicznego;</w:t>
            </w:r>
          </w:p>
          <w:p w14:paraId="17A5B2D3" w14:textId="717ACFAF" w:rsidR="00AE2C85" w:rsidRPr="00957B06" w:rsidRDefault="0073431A" w:rsidP="00CF233B">
            <w:pPr>
              <w:widowControl/>
              <w:autoSpaceDE/>
              <w:autoSpaceDN/>
              <w:spacing w:after="120"/>
              <w:ind w:left="164" w:hanging="164"/>
              <w:rPr>
                <w:rFonts w:cs="Calibri"/>
              </w:rPr>
            </w:pPr>
            <w:r w:rsidRPr="00957B06">
              <w:rPr>
                <w:rFonts w:cs="Calibri"/>
              </w:rPr>
              <w:t xml:space="preserve">4. </w:t>
            </w:r>
            <w:r w:rsidR="00E452CE" w:rsidRPr="00957B06">
              <w:rPr>
                <w:rFonts w:cs="Calibri"/>
              </w:rPr>
              <w:t xml:space="preserve">lepsze wykorzystanie potencjału osób z niepełnosprawnościami i seniorów na rynku pracy, co przełoży się w dłuższej perspektywie na wzrost poziomu współczynnika aktywności zawodowej tych </w:t>
            </w:r>
            <w:r w:rsidR="00E452CE" w:rsidRPr="00957B06">
              <w:rPr>
                <w:rFonts w:cs="Calibri"/>
              </w:rPr>
              <w:lastRenderedPageBreak/>
              <w:t>grup społecznych i będzie sprzyjać uzupełnianiu zasobów rynku pracy;</w:t>
            </w:r>
          </w:p>
          <w:p w14:paraId="0C63AE35" w14:textId="4BBAA16A" w:rsidR="00456343" w:rsidRPr="00957B06" w:rsidRDefault="00E452CE" w:rsidP="00B97216">
            <w:pPr>
              <w:pStyle w:val="Akapitzlist"/>
              <w:numPr>
                <w:ilvl w:val="0"/>
                <w:numId w:val="23"/>
              </w:numPr>
              <w:tabs>
                <w:tab w:val="left" w:pos="164"/>
                <w:tab w:val="left" w:pos="294"/>
              </w:tabs>
              <w:ind w:left="164" w:hanging="142"/>
            </w:pPr>
            <w:r w:rsidRPr="00957B06">
              <w:rPr>
                <w:rFonts w:cs="Calibri"/>
              </w:rPr>
              <w:t>włączenie do życia społecznego osób, które mają problem z mobilnością „tzw. więźniów wysokich pięter”;</w:t>
            </w:r>
          </w:p>
          <w:p w14:paraId="51CF44A9" w14:textId="77777777" w:rsidR="008167FF" w:rsidRPr="00957B06" w:rsidRDefault="008167FF" w:rsidP="008167FF">
            <w:pPr>
              <w:pStyle w:val="Akapitzlist"/>
              <w:tabs>
                <w:tab w:val="left" w:pos="164"/>
                <w:tab w:val="left" w:pos="294"/>
              </w:tabs>
              <w:ind w:left="164" w:firstLine="0"/>
            </w:pPr>
          </w:p>
          <w:p w14:paraId="7E858760" w14:textId="6B10FB97" w:rsidR="00E452CE" w:rsidRPr="00957B06" w:rsidRDefault="00E452CE" w:rsidP="00B97216">
            <w:pPr>
              <w:pStyle w:val="Akapitzlist"/>
              <w:widowControl/>
              <w:numPr>
                <w:ilvl w:val="0"/>
                <w:numId w:val="23"/>
              </w:numPr>
              <w:tabs>
                <w:tab w:val="left" w:pos="164"/>
                <w:tab w:val="left" w:pos="294"/>
              </w:tabs>
              <w:autoSpaceDE/>
              <w:autoSpaceDN/>
              <w:spacing w:after="120"/>
              <w:ind w:left="164" w:hanging="142"/>
              <w:rPr>
                <w:rFonts w:cs="Calibri"/>
              </w:rPr>
            </w:pPr>
            <w:r w:rsidRPr="00957B06">
              <w:rPr>
                <w:rFonts w:cs="Calibri"/>
              </w:rPr>
              <w:t>lepsza jakość usług publicznych, w tym komunikacji administracji publicznej z obywatelem, w ramach której obie strony mogą operować informacją w dogodnej formie, która nie pozostawia miejsca na dyskryminację i wykluczenie;</w:t>
            </w:r>
          </w:p>
          <w:p w14:paraId="63A76D8D" w14:textId="40359C49" w:rsidR="00E452CE" w:rsidRPr="00957B06" w:rsidRDefault="00E452CE" w:rsidP="00B97216">
            <w:pPr>
              <w:widowControl/>
              <w:numPr>
                <w:ilvl w:val="0"/>
                <w:numId w:val="23"/>
              </w:numPr>
              <w:tabs>
                <w:tab w:val="left" w:pos="164"/>
                <w:tab w:val="left" w:pos="294"/>
              </w:tabs>
              <w:autoSpaceDE/>
              <w:autoSpaceDN/>
              <w:spacing w:after="120"/>
              <w:ind w:left="164" w:hanging="142"/>
              <w:rPr>
                <w:rFonts w:cs="Calibri"/>
              </w:rPr>
            </w:pPr>
            <w:r w:rsidRPr="00957B06">
              <w:rPr>
                <w:rFonts w:cs="Calibri"/>
              </w:rPr>
              <w:t>poprawa dostępności kultury i dziedzictwa narodowego oraz stymulowanie rozwoju kapitału społecznego, opartego na więzi wspólnotowej, tożsamości i wspólnym kontekście historyczno-kulturowym;</w:t>
            </w:r>
          </w:p>
          <w:p w14:paraId="4784B67E" w14:textId="0D2EEF4C" w:rsidR="00616EEA" w:rsidRPr="00957B06" w:rsidRDefault="00E452CE" w:rsidP="003C3F42">
            <w:pPr>
              <w:pStyle w:val="Akapitzlist"/>
              <w:numPr>
                <w:ilvl w:val="0"/>
                <w:numId w:val="23"/>
              </w:numPr>
              <w:ind w:left="306" w:hanging="284"/>
            </w:pPr>
            <w:r w:rsidRPr="00957B06">
              <w:t>budowanie odpowiedzialnej i skutecznej działalności podmiotów z trzeciego sektora uwzględniających wymagania dostępności;</w:t>
            </w:r>
          </w:p>
          <w:p w14:paraId="121D4328" w14:textId="752789D4" w:rsidR="006320EB" w:rsidRPr="00957B06" w:rsidRDefault="00D97189" w:rsidP="00CF233B">
            <w:pPr>
              <w:widowControl/>
              <w:autoSpaceDE/>
              <w:autoSpaceDN/>
              <w:spacing w:after="120"/>
              <w:ind w:left="306" w:hanging="306"/>
              <w:rPr>
                <w:rFonts w:cs="Calibri"/>
              </w:rPr>
            </w:pPr>
            <w:r w:rsidRPr="00957B06">
              <w:rPr>
                <w:rFonts w:cs="Calibri"/>
              </w:rPr>
              <w:t>9.</w:t>
            </w:r>
            <w:r w:rsidR="00E452CE" w:rsidRPr="00957B06">
              <w:rPr>
                <w:rFonts w:cs="Calibri"/>
              </w:rPr>
              <w:t>wzrost świadomości obywateli w zakresie potrzeb związanych z dostępnością przestrzeni publicznej;</w:t>
            </w:r>
          </w:p>
          <w:p w14:paraId="2E148C2A" w14:textId="7859FBA2" w:rsidR="004A0252" w:rsidRPr="00957B06" w:rsidRDefault="00E452CE" w:rsidP="003C3F42">
            <w:pPr>
              <w:pStyle w:val="Akapitzlist"/>
              <w:widowControl/>
              <w:numPr>
                <w:ilvl w:val="0"/>
                <w:numId w:val="24"/>
              </w:numPr>
              <w:autoSpaceDE/>
              <w:autoSpaceDN/>
              <w:spacing w:after="120"/>
              <w:ind w:left="306" w:hanging="284"/>
              <w:rPr>
                <w:rFonts w:cs="Calibri"/>
              </w:rPr>
            </w:pPr>
            <w:r w:rsidRPr="00957B06">
              <w:rPr>
                <w:rFonts w:cs="Calibri"/>
              </w:rPr>
              <w:t xml:space="preserve"> wzmocnienie odpowiedzialności podmiotów publicznych za jakość świadczonych usług w interesie publ</w:t>
            </w:r>
            <w:r w:rsidR="004A0252" w:rsidRPr="00957B06">
              <w:rPr>
                <w:rFonts w:cs="Calibri"/>
              </w:rPr>
              <w:t>icznym</w:t>
            </w:r>
          </w:p>
          <w:p w14:paraId="6AB85B0A" w14:textId="544DE652" w:rsidR="004A0252" w:rsidRPr="00957B06" w:rsidRDefault="004A0252" w:rsidP="004A0252">
            <w:pPr>
              <w:widowControl/>
              <w:autoSpaceDE/>
              <w:autoSpaceDN/>
              <w:spacing w:after="120"/>
              <w:ind w:left="357"/>
              <w:rPr>
                <w:rFonts w:cs="Calibri"/>
              </w:rPr>
            </w:pPr>
          </w:p>
          <w:p w14:paraId="4B89AB69" w14:textId="7B81A9E4" w:rsidR="00635E63" w:rsidRPr="00957B06" w:rsidRDefault="00635E63" w:rsidP="004A0252">
            <w:pPr>
              <w:widowControl/>
              <w:autoSpaceDE/>
              <w:autoSpaceDN/>
              <w:spacing w:after="120"/>
              <w:ind w:left="357"/>
              <w:rPr>
                <w:rFonts w:cs="Calibri"/>
              </w:rPr>
            </w:pPr>
          </w:p>
          <w:p w14:paraId="385F8C5C" w14:textId="44987B11" w:rsidR="00635E63" w:rsidRPr="00957B06" w:rsidRDefault="00635E63" w:rsidP="004A0252">
            <w:pPr>
              <w:widowControl/>
              <w:autoSpaceDE/>
              <w:autoSpaceDN/>
              <w:spacing w:after="120"/>
              <w:ind w:left="357"/>
              <w:rPr>
                <w:rFonts w:cs="Calibri"/>
              </w:rPr>
            </w:pPr>
          </w:p>
          <w:p w14:paraId="28B60641" w14:textId="6A1AC59A" w:rsidR="00635E63" w:rsidRPr="00957B06" w:rsidRDefault="00635E63" w:rsidP="004A0252">
            <w:pPr>
              <w:widowControl/>
              <w:autoSpaceDE/>
              <w:autoSpaceDN/>
              <w:spacing w:after="120"/>
              <w:ind w:left="357"/>
              <w:rPr>
                <w:rFonts w:cs="Calibri"/>
              </w:rPr>
            </w:pPr>
          </w:p>
          <w:p w14:paraId="201B848E" w14:textId="5AB90CBB" w:rsidR="00635E63" w:rsidRPr="00957B06" w:rsidRDefault="00635E63" w:rsidP="004A0252">
            <w:pPr>
              <w:widowControl/>
              <w:autoSpaceDE/>
              <w:autoSpaceDN/>
              <w:spacing w:after="120"/>
              <w:ind w:left="357"/>
              <w:rPr>
                <w:rFonts w:cs="Calibri"/>
              </w:rPr>
            </w:pPr>
          </w:p>
          <w:p w14:paraId="082A5746" w14:textId="77777777" w:rsidR="00635E63" w:rsidRPr="00957B06" w:rsidRDefault="00635E63" w:rsidP="00635E63">
            <w:pPr>
              <w:widowControl/>
              <w:autoSpaceDE/>
              <w:autoSpaceDN/>
              <w:spacing w:after="120"/>
              <w:rPr>
                <w:rFonts w:cs="Calibri"/>
              </w:rPr>
            </w:pPr>
          </w:p>
          <w:p w14:paraId="289EEE93" w14:textId="77777777" w:rsidR="00350103" w:rsidRPr="00957B06" w:rsidRDefault="00350103" w:rsidP="004A0252">
            <w:pPr>
              <w:widowControl/>
              <w:autoSpaceDE/>
              <w:autoSpaceDN/>
              <w:spacing w:after="120"/>
              <w:rPr>
                <w:rFonts w:cs="Calibri"/>
              </w:rPr>
            </w:pPr>
          </w:p>
          <w:p w14:paraId="6B42F545" w14:textId="77777777" w:rsidR="00350103" w:rsidRPr="00957B06" w:rsidRDefault="00350103" w:rsidP="004A0252">
            <w:pPr>
              <w:widowControl/>
              <w:autoSpaceDE/>
              <w:autoSpaceDN/>
              <w:spacing w:after="120"/>
              <w:rPr>
                <w:rFonts w:cs="Calibri"/>
              </w:rPr>
            </w:pPr>
          </w:p>
          <w:p w14:paraId="585FBE4C" w14:textId="77777777" w:rsidR="00350103" w:rsidRPr="00957B06" w:rsidRDefault="00350103" w:rsidP="004A0252">
            <w:pPr>
              <w:widowControl/>
              <w:autoSpaceDE/>
              <w:autoSpaceDN/>
              <w:spacing w:after="120"/>
              <w:rPr>
                <w:rFonts w:cs="Calibri"/>
              </w:rPr>
            </w:pPr>
          </w:p>
          <w:p w14:paraId="643AEF9C" w14:textId="77777777" w:rsidR="00350103" w:rsidRPr="00957B06" w:rsidRDefault="00350103" w:rsidP="004A0252">
            <w:pPr>
              <w:widowControl/>
              <w:autoSpaceDE/>
              <w:autoSpaceDN/>
              <w:spacing w:after="120"/>
              <w:rPr>
                <w:rFonts w:cs="Calibri"/>
              </w:rPr>
            </w:pPr>
          </w:p>
          <w:p w14:paraId="5F8C9604" w14:textId="77777777" w:rsidR="00350103" w:rsidRPr="00957B06" w:rsidRDefault="00350103" w:rsidP="004A0252">
            <w:pPr>
              <w:widowControl/>
              <w:autoSpaceDE/>
              <w:autoSpaceDN/>
              <w:spacing w:after="120"/>
              <w:rPr>
                <w:rFonts w:cs="Calibri"/>
              </w:rPr>
            </w:pPr>
          </w:p>
          <w:p w14:paraId="2B1DBA09" w14:textId="77777777" w:rsidR="00350103" w:rsidRPr="00957B06" w:rsidRDefault="00350103" w:rsidP="004A0252">
            <w:pPr>
              <w:widowControl/>
              <w:autoSpaceDE/>
              <w:autoSpaceDN/>
              <w:spacing w:after="120"/>
              <w:rPr>
                <w:rFonts w:cs="Calibri"/>
              </w:rPr>
            </w:pPr>
          </w:p>
          <w:p w14:paraId="1C8E9F31" w14:textId="77777777" w:rsidR="00350103" w:rsidRPr="00957B06" w:rsidRDefault="00350103" w:rsidP="004A0252">
            <w:pPr>
              <w:widowControl/>
              <w:autoSpaceDE/>
              <w:autoSpaceDN/>
              <w:spacing w:after="120"/>
              <w:rPr>
                <w:rFonts w:cs="Calibri"/>
              </w:rPr>
            </w:pPr>
          </w:p>
          <w:p w14:paraId="46B7E4ED" w14:textId="77777777" w:rsidR="00350103" w:rsidRPr="00957B06" w:rsidRDefault="00350103" w:rsidP="004A0252">
            <w:pPr>
              <w:widowControl/>
              <w:autoSpaceDE/>
              <w:autoSpaceDN/>
              <w:spacing w:after="120"/>
              <w:rPr>
                <w:rFonts w:cs="Calibri"/>
              </w:rPr>
            </w:pPr>
          </w:p>
          <w:p w14:paraId="0F24176A" w14:textId="77777777" w:rsidR="00350103" w:rsidRPr="00957B06" w:rsidRDefault="00350103" w:rsidP="004A0252">
            <w:pPr>
              <w:widowControl/>
              <w:autoSpaceDE/>
              <w:autoSpaceDN/>
              <w:spacing w:after="120"/>
              <w:rPr>
                <w:rFonts w:cs="Calibri"/>
              </w:rPr>
            </w:pPr>
          </w:p>
          <w:p w14:paraId="659BF2DA" w14:textId="77777777" w:rsidR="00350103" w:rsidRPr="00957B06" w:rsidRDefault="00350103" w:rsidP="004A0252">
            <w:pPr>
              <w:widowControl/>
              <w:autoSpaceDE/>
              <w:autoSpaceDN/>
              <w:spacing w:after="120"/>
              <w:rPr>
                <w:rFonts w:cs="Calibri"/>
              </w:rPr>
            </w:pPr>
          </w:p>
          <w:p w14:paraId="37A94D51" w14:textId="77777777" w:rsidR="00350103" w:rsidRPr="00957B06" w:rsidRDefault="00350103" w:rsidP="004A0252">
            <w:pPr>
              <w:widowControl/>
              <w:autoSpaceDE/>
              <w:autoSpaceDN/>
              <w:spacing w:after="120"/>
              <w:rPr>
                <w:rFonts w:cs="Calibri"/>
              </w:rPr>
            </w:pPr>
          </w:p>
          <w:p w14:paraId="4B2F3B04" w14:textId="77777777" w:rsidR="00350103" w:rsidRPr="00957B06" w:rsidRDefault="00350103" w:rsidP="004A0252">
            <w:pPr>
              <w:widowControl/>
              <w:autoSpaceDE/>
              <w:autoSpaceDN/>
              <w:spacing w:after="120"/>
              <w:rPr>
                <w:rFonts w:cs="Calibri"/>
              </w:rPr>
            </w:pPr>
          </w:p>
          <w:p w14:paraId="5A5DA128" w14:textId="0EB9466A" w:rsidR="00350103" w:rsidRPr="00957B06" w:rsidRDefault="00350103" w:rsidP="004A0252">
            <w:pPr>
              <w:widowControl/>
              <w:autoSpaceDE/>
              <w:autoSpaceDN/>
              <w:spacing w:after="120"/>
              <w:rPr>
                <w:rFonts w:cs="Calibri"/>
              </w:rPr>
            </w:pPr>
          </w:p>
          <w:p w14:paraId="74CF1151" w14:textId="46D85533" w:rsidR="00C84E89" w:rsidRPr="00957B06" w:rsidRDefault="00C84E89" w:rsidP="004A0252">
            <w:pPr>
              <w:widowControl/>
              <w:autoSpaceDE/>
              <w:autoSpaceDN/>
              <w:spacing w:after="120"/>
              <w:rPr>
                <w:rFonts w:cs="Calibri"/>
              </w:rPr>
            </w:pPr>
          </w:p>
          <w:p w14:paraId="74495A45" w14:textId="3D18F39D" w:rsidR="00C84E89" w:rsidRPr="00957B06" w:rsidRDefault="00C84E89" w:rsidP="004A0252">
            <w:pPr>
              <w:widowControl/>
              <w:autoSpaceDE/>
              <w:autoSpaceDN/>
              <w:spacing w:after="120"/>
              <w:rPr>
                <w:rFonts w:cs="Calibri"/>
              </w:rPr>
            </w:pPr>
          </w:p>
          <w:p w14:paraId="0146B344" w14:textId="1057FA64" w:rsidR="00C84E89" w:rsidRPr="00957B06" w:rsidRDefault="00C84E89" w:rsidP="004A0252">
            <w:pPr>
              <w:widowControl/>
              <w:autoSpaceDE/>
              <w:autoSpaceDN/>
              <w:spacing w:after="120"/>
              <w:rPr>
                <w:rFonts w:cs="Calibri"/>
              </w:rPr>
            </w:pPr>
          </w:p>
          <w:p w14:paraId="1A2D9B22" w14:textId="62A52D4C" w:rsidR="00C84E89" w:rsidRPr="00957B06" w:rsidRDefault="00C84E89" w:rsidP="004A0252">
            <w:pPr>
              <w:widowControl/>
              <w:autoSpaceDE/>
              <w:autoSpaceDN/>
              <w:spacing w:after="120"/>
              <w:rPr>
                <w:rFonts w:cs="Calibri"/>
              </w:rPr>
            </w:pPr>
          </w:p>
          <w:p w14:paraId="75C798CE" w14:textId="053E176B" w:rsidR="00C84E89" w:rsidRPr="00957B06" w:rsidRDefault="00C84E89" w:rsidP="004A0252">
            <w:pPr>
              <w:widowControl/>
              <w:autoSpaceDE/>
              <w:autoSpaceDN/>
              <w:spacing w:after="120"/>
              <w:rPr>
                <w:rFonts w:cs="Calibri"/>
              </w:rPr>
            </w:pPr>
          </w:p>
          <w:p w14:paraId="3A150BA9" w14:textId="546D172E" w:rsidR="00C84E89" w:rsidRPr="00957B06" w:rsidRDefault="00C84E89" w:rsidP="004A0252">
            <w:pPr>
              <w:widowControl/>
              <w:autoSpaceDE/>
              <w:autoSpaceDN/>
              <w:spacing w:after="120"/>
              <w:rPr>
                <w:rFonts w:cs="Calibri"/>
              </w:rPr>
            </w:pPr>
          </w:p>
          <w:p w14:paraId="781F0FCE" w14:textId="5AAE58B5" w:rsidR="00C84E89" w:rsidRPr="00957B06" w:rsidRDefault="00C84E89" w:rsidP="004A0252">
            <w:pPr>
              <w:widowControl/>
              <w:autoSpaceDE/>
              <w:autoSpaceDN/>
              <w:spacing w:after="120"/>
              <w:rPr>
                <w:rFonts w:cs="Calibri"/>
              </w:rPr>
            </w:pPr>
          </w:p>
          <w:p w14:paraId="6D8DEFCB" w14:textId="77777777" w:rsidR="00C84E89" w:rsidRPr="00957B06" w:rsidRDefault="00C84E89" w:rsidP="004A0252">
            <w:pPr>
              <w:widowControl/>
              <w:autoSpaceDE/>
              <w:autoSpaceDN/>
              <w:spacing w:after="120"/>
              <w:rPr>
                <w:rFonts w:cs="Calibri"/>
              </w:rPr>
            </w:pPr>
          </w:p>
          <w:p w14:paraId="7288CAF8" w14:textId="77777777" w:rsidR="00350103" w:rsidRPr="00957B06" w:rsidRDefault="00350103" w:rsidP="004A0252">
            <w:pPr>
              <w:widowControl/>
              <w:autoSpaceDE/>
              <w:autoSpaceDN/>
              <w:spacing w:after="120"/>
              <w:rPr>
                <w:rFonts w:cs="Calibri"/>
              </w:rPr>
            </w:pPr>
          </w:p>
          <w:p w14:paraId="0E91D74F" w14:textId="77777777" w:rsidR="00350103" w:rsidRPr="00957B06" w:rsidRDefault="00350103" w:rsidP="004A0252">
            <w:pPr>
              <w:widowControl/>
              <w:autoSpaceDE/>
              <w:autoSpaceDN/>
              <w:spacing w:after="120"/>
              <w:rPr>
                <w:rFonts w:cs="Calibri"/>
              </w:rPr>
            </w:pPr>
          </w:p>
          <w:p w14:paraId="033C6F49" w14:textId="77777777" w:rsidR="001B1154" w:rsidRPr="00957B06" w:rsidRDefault="001B1154" w:rsidP="004A0252">
            <w:pPr>
              <w:widowControl/>
              <w:autoSpaceDE/>
              <w:autoSpaceDN/>
              <w:spacing w:after="120"/>
              <w:rPr>
                <w:rFonts w:cs="Calibri"/>
              </w:rPr>
            </w:pPr>
          </w:p>
          <w:p w14:paraId="6B95A683" w14:textId="77777777" w:rsidR="001B1154" w:rsidRPr="00957B06" w:rsidRDefault="001B1154" w:rsidP="004A0252">
            <w:pPr>
              <w:widowControl/>
              <w:autoSpaceDE/>
              <w:autoSpaceDN/>
              <w:spacing w:after="120"/>
              <w:rPr>
                <w:rFonts w:cs="Calibri"/>
              </w:rPr>
            </w:pPr>
          </w:p>
          <w:p w14:paraId="1827BC77" w14:textId="77777777" w:rsidR="001B1154" w:rsidRPr="00957B06" w:rsidRDefault="001B1154" w:rsidP="004A0252">
            <w:pPr>
              <w:widowControl/>
              <w:autoSpaceDE/>
              <w:autoSpaceDN/>
              <w:spacing w:after="120"/>
              <w:rPr>
                <w:rFonts w:cs="Calibri"/>
              </w:rPr>
            </w:pPr>
          </w:p>
          <w:p w14:paraId="126A6785" w14:textId="77777777" w:rsidR="001B1154" w:rsidRPr="00957B06" w:rsidRDefault="001B1154" w:rsidP="004A0252">
            <w:pPr>
              <w:widowControl/>
              <w:autoSpaceDE/>
              <w:autoSpaceDN/>
              <w:spacing w:after="120"/>
              <w:rPr>
                <w:rFonts w:cs="Calibri"/>
              </w:rPr>
            </w:pPr>
          </w:p>
          <w:p w14:paraId="29AA031E" w14:textId="77777777" w:rsidR="001B1154" w:rsidRPr="00957B06" w:rsidRDefault="001B1154" w:rsidP="004A0252">
            <w:pPr>
              <w:widowControl/>
              <w:autoSpaceDE/>
              <w:autoSpaceDN/>
              <w:spacing w:after="120"/>
              <w:rPr>
                <w:rFonts w:cs="Calibri"/>
              </w:rPr>
            </w:pPr>
          </w:p>
          <w:p w14:paraId="7B7B945B" w14:textId="77777777" w:rsidR="001B1154" w:rsidRPr="00957B06" w:rsidRDefault="001B1154" w:rsidP="004A0252">
            <w:pPr>
              <w:widowControl/>
              <w:autoSpaceDE/>
              <w:autoSpaceDN/>
              <w:spacing w:after="120"/>
              <w:rPr>
                <w:rFonts w:cs="Calibri"/>
              </w:rPr>
            </w:pPr>
          </w:p>
          <w:p w14:paraId="017E26E8" w14:textId="77777777" w:rsidR="001B1154" w:rsidRPr="00957B06" w:rsidRDefault="001B1154" w:rsidP="004A0252">
            <w:pPr>
              <w:widowControl/>
              <w:autoSpaceDE/>
              <w:autoSpaceDN/>
              <w:spacing w:after="120"/>
              <w:rPr>
                <w:rFonts w:cs="Calibri"/>
              </w:rPr>
            </w:pPr>
          </w:p>
          <w:p w14:paraId="2CD8EFEC" w14:textId="77777777" w:rsidR="001B1154" w:rsidRPr="00957B06" w:rsidRDefault="001B1154" w:rsidP="004A0252">
            <w:pPr>
              <w:widowControl/>
              <w:autoSpaceDE/>
              <w:autoSpaceDN/>
              <w:spacing w:after="120"/>
              <w:rPr>
                <w:rFonts w:cs="Calibri"/>
              </w:rPr>
            </w:pPr>
          </w:p>
          <w:p w14:paraId="50DA1AA1" w14:textId="77777777" w:rsidR="001B1154" w:rsidRPr="00957B06" w:rsidRDefault="001B1154" w:rsidP="004A0252">
            <w:pPr>
              <w:widowControl/>
              <w:autoSpaceDE/>
              <w:autoSpaceDN/>
              <w:spacing w:after="120"/>
              <w:rPr>
                <w:rFonts w:cs="Calibri"/>
              </w:rPr>
            </w:pPr>
          </w:p>
          <w:p w14:paraId="5C39D6FF" w14:textId="77777777" w:rsidR="001B1154" w:rsidRPr="00957B06" w:rsidRDefault="001B1154" w:rsidP="004A0252">
            <w:pPr>
              <w:widowControl/>
              <w:autoSpaceDE/>
              <w:autoSpaceDN/>
              <w:spacing w:after="120"/>
              <w:rPr>
                <w:rFonts w:cs="Calibri"/>
              </w:rPr>
            </w:pPr>
          </w:p>
          <w:p w14:paraId="57A0EDEC" w14:textId="77777777" w:rsidR="001B1154" w:rsidRPr="00957B06" w:rsidRDefault="001B1154" w:rsidP="004A0252">
            <w:pPr>
              <w:widowControl/>
              <w:autoSpaceDE/>
              <w:autoSpaceDN/>
              <w:spacing w:after="120"/>
              <w:rPr>
                <w:rFonts w:cs="Calibri"/>
              </w:rPr>
            </w:pPr>
          </w:p>
          <w:p w14:paraId="14B0973B" w14:textId="77777777" w:rsidR="001B1154" w:rsidRPr="00957B06" w:rsidRDefault="001B1154" w:rsidP="004A0252">
            <w:pPr>
              <w:widowControl/>
              <w:autoSpaceDE/>
              <w:autoSpaceDN/>
              <w:spacing w:after="120"/>
              <w:rPr>
                <w:rFonts w:cs="Calibri"/>
              </w:rPr>
            </w:pPr>
          </w:p>
          <w:p w14:paraId="6C91E273" w14:textId="77777777" w:rsidR="001B1154" w:rsidRPr="00957B06" w:rsidRDefault="001B1154" w:rsidP="004A0252">
            <w:pPr>
              <w:widowControl/>
              <w:autoSpaceDE/>
              <w:autoSpaceDN/>
              <w:spacing w:after="120"/>
              <w:rPr>
                <w:rFonts w:cs="Calibri"/>
              </w:rPr>
            </w:pPr>
          </w:p>
          <w:p w14:paraId="02209243" w14:textId="77777777" w:rsidR="001B1154" w:rsidRPr="00957B06" w:rsidRDefault="001B1154" w:rsidP="004A0252">
            <w:pPr>
              <w:widowControl/>
              <w:autoSpaceDE/>
              <w:autoSpaceDN/>
              <w:spacing w:after="120"/>
              <w:rPr>
                <w:rFonts w:cs="Calibri"/>
              </w:rPr>
            </w:pPr>
          </w:p>
          <w:p w14:paraId="7871C7BE" w14:textId="77777777" w:rsidR="001B1154" w:rsidRPr="00957B06" w:rsidRDefault="001B1154" w:rsidP="004A0252">
            <w:pPr>
              <w:widowControl/>
              <w:autoSpaceDE/>
              <w:autoSpaceDN/>
              <w:spacing w:after="120"/>
              <w:rPr>
                <w:rFonts w:cs="Calibri"/>
              </w:rPr>
            </w:pPr>
          </w:p>
          <w:p w14:paraId="2AC17DCD" w14:textId="77777777" w:rsidR="001B1154" w:rsidRPr="00957B06" w:rsidRDefault="001B1154" w:rsidP="004A0252">
            <w:pPr>
              <w:widowControl/>
              <w:autoSpaceDE/>
              <w:autoSpaceDN/>
              <w:spacing w:after="120"/>
              <w:rPr>
                <w:rFonts w:cs="Calibri"/>
              </w:rPr>
            </w:pPr>
          </w:p>
          <w:p w14:paraId="1FA1DFAD" w14:textId="77777777" w:rsidR="001B1154" w:rsidRPr="00957B06" w:rsidRDefault="001B1154" w:rsidP="004A0252">
            <w:pPr>
              <w:widowControl/>
              <w:autoSpaceDE/>
              <w:autoSpaceDN/>
              <w:spacing w:after="120"/>
              <w:rPr>
                <w:rFonts w:cs="Calibri"/>
              </w:rPr>
            </w:pPr>
          </w:p>
          <w:p w14:paraId="700EF11E" w14:textId="77777777" w:rsidR="001B1154" w:rsidRPr="00957B06" w:rsidRDefault="001B1154" w:rsidP="004A0252">
            <w:pPr>
              <w:widowControl/>
              <w:autoSpaceDE/>
              <w:autoSpaceDN/>
              <w:spacing w:after="120"/>
              <w:rPr>
                <w:rFonts w:cs="Calibri"/>
              </w:rPr>
            </w:pPr>
          </w:p>
          <w:p w14:paraId="42CCDED0" w14:textId="77777777" w:rsidR="00E621C3" w:rsidRPr="00957B06" w:rsidRDefault="00E621C3" w:rsidP="004A0252">
            <w:pPr>
              <w:widowControl/>
              <w:autoSpaceDE/>
              <w:autoSpaceDN/>
              <w:spacing w:after="120"/>
              <w:rPr>
                <w:rFonts w:cs="Calibri"/>
              </w:rPr>
            </w:pPr>
          </w:p>
          <w:p w14:paraId="582DD95D" w14:textId="77777777" w:rsidR="00E621C3" w:rsidRPr="00957B06" w:rsidRDefault="00E621C3" w:rsidP="004A0252">
            <w:pPr>
              <w:widowControl/>
              <w:autoSpaceDE/>
              <w:autoSpaceDN/>
              <w:spacing w:after="120"/>
              <w:rPr>
                <w:rFonts w:cs="Calibri"/>
              </w:rPr>
            </w:pPr>
          </w:p>
          <w:p w14:paraId="6C3A5727" w14:textId="77777777" w:rsidR="00E621C3" w:rsidRPr="00957B06" w:rsidRDefault="00E621C3" w:rsidP="004A0252">
            <w:pPr>
              <w:widowControl/>
              <w:autoSpaceDE/>
              <w:autoSpaceDN/>
              <w:spacing w:after="120"/>
              <w:rPr>
                <w:rFonts w:cs="Calibri"/>
              </w:rPr>
            </w:pPr>
          </w:p>
          <w:p w14:paraId="313DDE92" w14:textId="77777777" w:rsidR="00E621C3" w:rsidRPr="00957B06" w:rsidRDefault="00E621C3" w:rsidP="004A0252">
            <w:pPr>
              <w:widowControl/>
              <w:autoSpaceDE/>
              <w:autoSpaceDN/>
              <w:spacing w:after="120"/>
              <w:rPr>
                <w:rFonts w:cs="Calibri"/>
              </w:rPr>
            </w:pPr>
          </w:p>
          <w:p w14:paraId="16548FC0" w14:textId="77777777" w:rsidR="00E621C3" w:rsidRPr="00957B06" w:rsidRDefault="00E621C3" w:rsidP="004A0252">
            <w:pPr>
              <w:widowControl/>
              <w:autoSpaceDE/>
              <w:autoSpaceDN/>
              <w:spacing w:after="120"/>
              <w:rPr>
                <w:rFonts w:cs="Calibri"/>
              </w:rPr>
            </w:pPr>
          </w:p>
          <w:p w14:paraId="49868E0F" w14:textId="77777777" w:rsidR="00E621C3" w:rsidRPr="00957B06" w:rsidRDefault="00E621C3" w:rsidP="004A0252">
            <w:pPr>
              <w:widowControl/>
              <w:autoSpaceDE/>
              <w:autoSpaceDN/>
              <w:spacing w:after="120"/>
              <w:rPr>
                <w:rFonts w:cs="Calibri"/>
              </w:rPr>
            </w:pPr>
          </w:p>
          <w:p w14:paraId="318612E4" w14:textId="77777777" w:rsidR="00E621C3" w:rsidRPr="00957B06" w:rsidRDefault="00E621C3" w:rsidP="004A0252">
            <w:pPr>
              <w:widowControl/>
              <w:autoSpaceDE/>
              <w:autoSpaceDN/>
              <w:spacing w:after="120"/>
              <w:rPr>
                <w:rFonts w:cs="Calibri"/>
              </w:rPr>
            </w:pPr>
          </w:p>
          <w:p w14:paraId="402D75A2" w14:textId="77777777" w:rsidR="00E621C3" w:rsidRPr="00957B06" w:rsidRDefault="00E621C3" w:rsidP="004A0252">
            <w:pPr>
              <w:widowControl/>
              <w:autoSpaceDE/>
              <w:autoSpaceDN/>
              <w:spacing w:after="120"/>
              <w:rPr>
                <w:rFonts w:cs="Calibri"/>
              </w:rPr>
            </w:pPr>
          </w:p>
          <w:p w14:paraId="357EF71E" w14:textId="77777777" w:rsidR="00E621C3" w:rsidRPr="00957B06" w:rsidRDefault="00E621C3" w:rsidP="004A0252">
            <w:pPr>
              <w:widowControl/>
              <w:autoSpaceDE/>
              <w:autoSpaceDN/>
              <w:spacing w:after="120"/>
              <w:rPr>
                <w:rFonts w:cs="Calibri"/>
              </w:rPr>
            </w:pPr>
          </w:p>
          <w:p w14:paraId="05D0F688" w14:textId="77777777" w:rsidR="00E621C3" w:rsidRPr="00957B06" w:rsidRDefault="00E621C3" w:rsidP="004A0252">
            <w:pPr>
              <w:widowControl/>
              <w:autoSpaceDE/>
              <w:autoSpaceDN/>
              <w:spacing w:after="120"/>
              <w:rPr>
                <w:rFonts w:cs="Calibri"/>
              </w:rPr>
            </w:pPr>
          </w:p>
          <w:p w14:paraId="3F16A291" w14:textId="77777777" w:rsidR="00E621C3" w:rsidRPr="00957B06" w:rsidRDefault="00E621C3" w:rsidP="004A0252">
            <w:pPr>
              <w:widowControl/>
              <w:autoSpaceDE/>
              <w:autoSpaceDN/>
              <w:spacing w:after="120"/>
              <w:rPr>
                <w:rFonts w:cs="Calibri"/>
              </w:rPr>
            </w:pPr>
          </w:p>
          <w:p w14:paraId="36B6BC3A" w14:textId="77777777" w:rsidR="00E621C3" w:rsidRPr="00957B06" w:rsidRDefault="00E621C3" w:rsidP="004A0252">
            <w:pPr>
              <w:widowControl/>
              <w:autoSpaceDE/>
              <w:autoSpaceDN/>
              <w:spacing w:after="120"/>
              <w:rPr>
                <w:rFonts w:cs="Calibri"/>
              </w:rPr>
            </w:pPr>
          </w:p>
          <w:p w14:paraId="460C8298" w14:textId="77777777" w:rsidR="00E621C3" w:rsidRPr="00957B06" w:rsidRDefault="00E621C3" w:rsidP="004A0252">
            <w:pPr>
              <w:widowControl/>
              <w:autoSpaceDE/>
              <w:autoSpaceDN/>
              <w:spacing w:after="120"/>
              <w:rPr>
                <w:rFonts w:cs="Calibri"/>
              </w:rPr>
            </w:pPr>
          </w:p>
          <w:p w14:paraId="79E9692C" w14:textId="77777777" w:rsidR="00E621C3" w:rsidRPr="00957B06" w:rsidRDefault="00E621C3" w:rsidP="004A0252">
            <w:pPr>
              <w:widowControl/>
              <w:autoSpaceDE/>
              <w:autoSpaceDN/>
              <w:spacing w:after="120"/>
              <w:rPr>
                <w:rFonts w:cs="Calibri"/>
              </w:rPr>
            </w:pPr>
          </w:p>
          <w:p w14:paraId="38B64CC6" w14:textId="77777777" w:rsidR="00E621C3" w:rsidRPr="00957B06" w:rsidRDefault="00E621C3" w:rsidP="004A0252">
            <w:pPr>
              <w:widowControl/>
              <w:autoSpaceDE/>
              <w:autoSpaceDN/>
              <w:spacing w:after="120"/>
              <w:rPr>
                <w:rFonts w:cs="Calibri"/>
              </w:rPr>
            </w:pPr>
          </w:p>
          <w:p w14:paraId="1BF9E455" w14:textId="77777777" w:rsidR="00E621C3" w:rsidRPr="00957B06" w:rsidRDefault="00E621C3" w:rsidP="004A0252">
            <w:pPr>
              <w:widowControl/>
              <w:autoSpaceDE/>
              <w:autoSpaceDN/>
              <w:spacing w:after="120"/>
              <w:rPr>
                <w:rFonts w:cs="Calibri"/>
              </w:rPr>
            </w:pPr>
          </w:p>
          <w:p w14:paraId="4EF55563" w14:textId="77777777" w:rsidR="00E621C3" w:rsidRPr="00957B06" w:rsidRDefault="00E621C3" w:rsidP="004A0252">
            <w:pPr>
              <w:widowControl/>
              <w:autoSpaceDE/>
              <w:autoSpaceDN/>
              <w:spacing w:after="120"/>
              <w:rPr>
                <w:rFonts w:cs="Calibri"/>
              </w:rPr>
            </w:pPr>
          </w:p>
          <w:p w14:paraId="1B8C09E1" w14:textId="77777777" w:rsidR="00E621C3" w:rsidRPr="00957B06" w:rsidRDefault="00E621C3" w:rsidP="004A0252">
            <w:pPr>
              <w:widowControl/>
              <w:autoSpaceDE/>
              <w:autoSpaceDN/>
              <w:spacing w:after="120"/>
              <w:rPr>
                <w:rFonts w:cs="Calibri"/>
              </w:rPr>
            </w:pPr>
          </w:p>
          <w:p w14:paraId="1A82D31C" w14:textId="77777777" w:rsidR="00E621C3" w:rsidRPr="00957B06" w:rsidRDefault="00E621C3" w:rsidP="004A0252">
            <w:pPr>
              <w:widowControl/>
              <w:autoSpaceDE/>
              <w:autoSpaceDN/>
              <w:spacing w:after="120"/>
              <w:rPr>
                <w:rFonts w:cs="Calibri"/>
              </w:rPr>
            </w:pPr>
          </w:p>
          <w:p w14:paraId="490A0858" w14:textId="77777777" w:rsidR="00E621C3" w:rsidRPr="00957B06" w:rsidRDefault="00E621C3" w:rsidP="004A0252">
            <w:pPr>
              <w:widowControl/>
              <w:autoSpaceDE/>
              <w:autoSpaceDN/>
              <w:spacing w:after="120"/>
              <w:rPr>
                <w:rFonts w:cs="Calibri"/>
              </w:rPr>
            </w:pPr>
          </w:p>
          <w:p w14:paraId="082FD5DA" w14:textId="77777777" w:rsidR="00E621C3" w:rsidRPr="00957B06" w:rsidRDefault="00E621C3" w:rsidP="004A0252">
            <w:pPr>
              <w:widowControl/>
              <w:autoSpaceDE/>
              <w:autoSpaceDN/>
              <w:spacing w:after="120"/>
              <w:rPr>
                <w:rFonts w:cs="Calibri"/>
              </w:rPr>
            </w:pPr>
          </w:p>
          <w:p w14:paraId="5EEF2075" w14:textId="77777777" w:rsidR="00E621C3" w:rsidRPr="00957B06" w:rsidRDefault="00E621C3" w:rsidP="004A0252">
            <w:pPr>
              <w:widowControl/>
              <w:autoSpaceDE/>
              <w:autoSpaceDN/>
              <w:spacing w:after="120"/>
              <w:rPr>
                <w:rFonts w:cs="Calibri"/>
              </w:rPr>
            </w:pPr>
          </w:p>
          <w:p w14:paraId="6E5181A5" w14:textId="77777777" w:rsidR="00E621C3" w:rsidRPr="00957B06" w:rsidRDefault="00E621C3" w:rsidP="004A0252">
            <w:pPr>
              <w:widowControl/>
              <w:autoSpaceDE/>
              <w:autoSpaceDN/>
              <w:spacing w:after="120"/>
              <w:rPr>
                <w:rFonts w:cs="Calibri"/>
              </w:rPr>
            </w:pPr>
          </w:p>
          <w:p w14:paraId="1726003A" w14:textId="77777777" w:rsidR="00E621C3" w:rsidRPr="00957B06" w:rsidRDefault="00E621C3" w:rsidP="004A0252">
            <w:pPr>
              <w:widowControl/>
              <w:autoSpaceDE/>
              <w:autoSpaceDN/>
              <w:spacing w:after="120"/>
              <w:rPr>
                <w:rFonts w:cs="Calibri"/>
              </w:rPr>
            </w:pPr>
          </w:p>
          <w:p w14:paraId="5CB71C73" w14:textId="77777777" w:rsidR="00E621C3" w:rsidRPr="00957B06" w:rsidRDefault="00E621C3" w:rsidP="004A0252">
            <w:pPr>
              <w:widowControl/>
              <w:autoSpaceDE/>
              <w:autoSpaceDN/>
              <w:spacing w:after="120"/>
              <w:rPr>
                <w:rFonts w:cs="Calibri"/>
              </w:rPr>
            </w:pPr>
          </w:p>
          <w:p w14:paraId="4BBAFAE8" w14:textId="77777777" w:rsidR="00E621C3" w:rsidRPr="00957B06" w:rsidRDefault="00E621C3" w:rsidP="004A0252">
            <w:pPr>
              <w:widowControl/>
              <w:autoSpaceDE/>
              <w:autoSpaceDN/>
              <w:spacing w:after="120"/>
              <w:rPr>
                <w:rFonts w:cs="Calibri"/>
              </w:rPr>
            </w:pPr>
          </w:p>
          <w:p w14:paraId="1354A562" w14:textId="77777777" w:rsidR="00E621C3" w:rsidRPr="00957B06" w:rsidRDefault="00E621C3" w:rsidP="004A0252">
            <w:pPr>
              <w:widowControl/>
              <w:autoSpaceDE/>
              <w:autoSpaceDN/>
              <w:spacing w:after="120"/>
              <w:rPr>
                <w:rFonts w:cs="Calibri"/>
              </w:rPr>
            </w:pPr>
          </w:p>
          <w:p w14:paraId="4F0066A3" w14:textId="77777777" w:rsidR="00E621C3" w:rsidRPr="00957B06" w:rsidRDefault="00E621C3" w:rsidP="004A0252">
            <w:pPr>
              <w:widowControl/>
              <w:autoSpaceDE/>
              <w:autoSpaceDN/>
              <w:spacing w:after="120"/>
              <w:rPr>
                <w:rFonts w:cs="Calibri"/>
              </w:rPr>
            </w:pPr>
          </w:p>
          <w:p w14:paraId="6FCFA894" w14:textId="77777777" w:rsidR="00E621C3" w:rsidRPr="00957B06" w:rsidRDefault="00E621C3" w:rsidP="004A0252">
            <w:pPr>
              <w:widowControl/>
              <w:autoSpaceDE/>
              <w:autoSpaceDN/>
              <w:spacing w:after="120"/>
              <w:rPr>
                <w:rFonts w:cs="Calibri"/>
              </w:rPr>
            </w:pPr>
          </w:p>
          <w:p w14:paraId="1F670C1A" w14:textId="77777777" w:rsidR="00E621C3" w:rsidRPr="00957B06" w:rsidRDefault="00E621C3" w:rsidP="004A0252">
            <w:pPr>
              <w:widowControl/>
              <w:autoSpaceDE/>
              <w:autoSpaceDN/>
              <w:spacing w:after="120"/>
              <w:rPr>
                <w:rFonts w:cs="Calibri"/>
              </w:rPr>
            </w:pPr>
          </w:p>
          <w:p w14:paraId="1B687B69" w14:textId="77777777" w:rsidR="00E621C3" w:rsidRPr="00957B06" w:rsidRDefault="00E621C3" w:rsidP="004A0252">
            <w:pPr>
              <w:widowControl/>
              <w:autoSpaceDE/>
              <w:autoSpaceDN/>
              <w:spacing w:after="120"/>
              <w:rPr>
                <w:rFonts w:cs="Calibri"/>
              </w:rPr>
            </w:pPr>
          </w:p>
          <w:p w14:paraId="1C850C03" w14:textId="77777777" w:rsidR="00E621C3" w:rsidRPr="00957B06" w:rsidRDefault="00E621C3" w:rsidP="004A0252">
            <w:pPr>
              <w:widowControl/>
              <w:autoSpaceDE/>
              <w:autoSpaceDN/>
              <w:spacing w:after="120"/>
              <w:rPr>
                <w:rFonts w:cs="Calibri"/>
              </w:rPr>
            </w:pPr>
          </w:p>
          <w:p w14:paraId="74362DFA" w14:textId="77777777" w:rsidR="00E621C3" w:rsidRPr="00957B06" w:rsidRDefault="00E621C3" w:rsidP="004A0252">
            <w:pPr>
              <w:widowControl/>
              <w:autoSpaceDE/>
              <w:autoSpaceDN/>
              <w:spacing w:after="120"/>
              <w:rPr>
                <w:rFonts w:cs="Calibri"/>
              </w:rPr>
            </w:pPr>
          </w:p>
          <w:p w14:paraId="46EF949E" w14:textId="77777777" w:rsidR="00E621C3" w:rsidRPr="00957B06" w:rsidRDefault="00E621C3" w:rsidP="004A0252">
            <w:pPr>
              <w:widowControl/>
              <w:autoSpaceDE/>
              <w:autoSpaceDN/>
              <w:spacing w:after="120"/>
              <w:rPr>
                <w:rFonts w:cs="Calibri"/>
              </w:rPr>
            </w:pPr>
          </w:p>
          <w:p w14:paraId="6422B98B" w14:textId="77777777" w:rsidR="00E621C3" w:rsidRPr="00957B06" w:rsidRDefault="00E621C3" w:rsidP="004A0252">
            <w:pPr>
              <w:widowControl/>
              <w:autoSpaceDE/>
              <w:autoSpaceDN/>
              <w:spacing w:after="120"/>
              <w:rPr>
                <w:rFonts w:cs="Calibri"/>
              </w:rPr>
            </w:pPr>
          </w:p>
          <w:p w14:paraId="40DF5672" w14:textId="77777777" w:rsidR="00E621C3" w:rsidRPr="00957B06" w:rsidRDefault="00E621C3" w:rsidP="004A0252">
            <w:pPr>
              <w:widowControl/>
              <w:autoSpaceDE/>
              <w:autoSpaceDN/>
              <w:spacing w:after="120"/>
              <w:rPr>
                <w:rFonts w:cs="Calibri"/>
              </w:rPr>
            </w:pPr>
          </w:p>
          <w:p w14:paraId="632EDDF0" w14:textId="77777777" w:rsidR="00E621C3" w:rsidRPr="00957B06" w:rsidRDefault="00E621C3" w:rsidP="004A0252">
            <w:pPr>
              <w:widowControl/>
              <w:autoSpaceDE/>
              <w:autoSpaceDN/>
              <w:spacing w:after="120"/>
              <w:rPr>
                <w:rFonts w:cs="Calibri"/>
              </w:rPr>
            </w:pPr>
          </w:p>
          <w:p w14:paraId="1908F618" w14:textId="77777777" w:rsidR="00E621C3" w:rsidRPr="00957B06" w:rsidRDefault="00E621C3" w:rsidP="004A0252">
            <w:pPr>
              <w:widowControl/>
              <w:autoSpaceDE/>
              <w:autoSpaceDN/>
              <w:spacing w:after="120"/>
              <w:rPr>
                <w:rFonts w:cs="Calibri"/>
              </w:rPr>
            </w:pPr>
          </w:p>
          <w:p w14:paraId="2C987EB2" w14:textId="77777777" w:rsidR="00E621C3" w:rsidRPr="00957B06" w:rsidRDefault="00E621C3" w:rsidP="004A0252">
            <w:pPr>
              <w:widowControl/>
              <w:autoSpaceDE/>
              <w:autoSpaceDN/>
              <w:spacing w:after="120"/>
              <w:rPr>
                <w:rFonts w:cs="Calibri"/>
              </w:rPr>
            </w:pPr>
          </w:p>
          <w:p w14:paraId="71A4FC95" w14:textId="77777777" w:rsidR="00E621C3" w:rsidRPr="00957B06" w:rsidRDefault="00E621C3" w:rsidP="004A0252">
            <w:pPr>
              <w:widowControl/>
              <w:autoSpaceDE/>
              <w:autoSpaceDN/>
              <w:spacing w:after="120"/>
              <w:rPr>
                <w:rFonts w:cs="Calibri"/>
              </w:rPr>
            </w:pPr>
          </w:p>
          <w:p w14:paraId="4241EB86" w14:textId="77777777" w:rsidR="00E621C3" w:rsidRPr="00957B06" w:rsidRDefault="00E621C3" w:rsidP="004A0252">
            <w:pPr>
              <w:widowControl/>
              <w:autoSpaceDE/>
              <w:autoSpaceDN/>
              <w:spacing w:after="120"/>
              <w:rPr>
                <w:rFonts w:cs="Calibri"/>
              </w:rPr>
            </w:pPr>
          </w:p>
          <w:p w14:paraId="5C52F404" w14:textId="77777777" w:rsidR="00E621C3" w:rsidRPr="00957B06" w:rsidRDefault="00E621C3" w:rsidP="004A0252">
            <w:pPr>
              <w:widowControl/>
              <w:autoSpaceDE/>
              <w:autoSpaceDN/>
              <w:spacing w:after="120"/>
              <w:rPr>
                <w:rFonts w:cs="Calibri"/>
              </w:rPr>
            </w:pPr>
          </w:p>
          <w:p w14:paraId="37DC0CB1" w14:textId="77777777" w:rsidR="00E621C3" w:rsidRPr="00957B06" w:rsidRDefault="00E621C3" w:rsidP="004A0252">
            <w:pPr>
              <w:widowControl/>
              <w:autoSpaceDE/>
              <w:autoSpaceDN/>
              <w:spacing w:after="120"/>
              <w:rPr>
                <w:rFonts w:cs="Calibri"/>
              </w:rPr>
            </w:pPr>
          </w:p>
          <w:p w14:paraId="139815E5" w14:textId="77777777" w:rsidR="00E621C3" w:rsidRPr="00957B06" w:rsidRDefault="00E621C3" w:rsidP="004A0252">
            <w:pPr>
              <w:widowControl/>
              <w:autoSpaceDE/>
              <w:autoSpaceDN/>
              <w:spacing w:after="120"/>
              <w:rPr>
                <w:rFonts w:cs="Calibri"/>
              </w:rPr>
            </w:pPr>
          </w:p>
          <w:p w14:paraId="4A15AA4B" w14:textId="77777777" w:rsidR="00E621C3" w:rsidRPr="00957B06" w:rsidRDefault="00E621C3" w:rsidP="004A0252">
            <w:pPr>
              <w:widowControl/>
              <w:autoSpaceDE/>
              <w:autoSpaceDN/>
              <w:spacing w:after="120"/>
              <w:rPr>
                <w:rFonts w:cs="Calibri"/>
              </w:rPr>
            </w:pPr>
          </w:p>
          <w:p w14:paraId="0700E42F" w14:textId="77777777" w:rsidR="00E621C3" w:rsidRPr="00957B06" w:rsidRDefault="00E621C3" w:rsidP="004A0252">
            <w:pPr>
              <w:widowControl/>
              <w:autoSpaceDE/>
              <w:autoSpaceDN/>
              <w:spacing w:after="120"/>
              <w:rPr>
                <w:rFonts w:cs="Calibri"/>
              </w:rPr>
            </w:pPr>
          </w:p>
          <w:p w14:paraId="2349BFBE" w14:textId="77777777" w:rsidR="00E621C3" w:rsidRPr="00957B06" w:rsidRDefault="00E621C3" w:rsidP="004A0252">
            <w:pPr>
              <w:widowControl/>
              <w:autoSpaceDE/>
              <w:autoSpaceDN/>
              <w:spacing w:after="120"/>
              <w:rPr>
                <w:rFonts w:cs="Calibri"/>
              </w:rPr>
            </w:pPr>
          </w:p>
          <w:p w14:paraId="3F8C5BE5" w14:textId="77777777" w:rsidR="00E621C3" w:rsidRPr="00957B06" w:rsidRDefault="00E621C3" w:rsidP="004A0252">
            <w:pPr>
              <w:widowControl/>
              <w:autoSpaceDE/>
              <w:autoSpaceDN/>
              <w:spacing w:after="120"/>
              <w:rPr>
                <w:rFonts w:cs="Calibri"/>
              </w:rPr>
            </w:pPr>
          </w:p>
          <w:p w14:paraId="62F56D99" w14:textId="77777777" w:rsidR="00E621C3" w:rsidRPr="00957B06" w:rsidRDefault="00E621C3" w:rsidP="004A0252">
            <w:pPr>
              <w:widowControl/>
              <w:autoSpaceDE/>
              <w:autoSpaceDN/>
              <w:spacing w:after="120"/>
              <w:rPr>
                <w:rFonts w:cs="Calibri"/>
              </w:rPr>
            </w:pPr>
          </w:p>
          <w:p w14:paraId="7E72D9A9" w14:textId="77777777" w:rsidR="00E621C3" w:rsidRPr="00957B06" w:rsidRDefault="00E621C3" w:rsidP="004A0252">
            <w:pPr>
              <w:widowControl/>
              <w:autoSpaceDE/>
              <w:autoSpaceDN/>
              <w:spacing w:after="120"/>
              <w:rPr>
                <w:rFonts w:cs="Calibri"/>
              </w:rPr>
            </w:pPr>
          </w:p>
          <w:p w14:paraId="21A0C8E2" w14:textId="77777777" w:rsidR="00E621C3" w:rsidRPr="00957B06" w:rsidRDefault="00E621C3" w:rsidP="004A0252">
            <w:pPr>
              <w:widowControl/>
              <w:autoSpaceDE/>
              <w:autoSpaceDN/>
              <w:spacing w:after="120"/>
              <w:rPr>
                <w:rFonts w:cs="Calibri"/>
              </w:rPr>
            </w:pPr>
          </w:p>
          <w:p w14:paraId="3A1C360C" w14:textId="77777777" w:rsidR="00E621C3" w:rsidRPr="00957B06" w:rsidRDefault="00E621C3" w:rsidP="004A0252">
            <w:pPr>
              <w:widowControl/>
              <w:autoSpaceDE/>
              <w:autoSpaceDN/>
              <w:spacing w:after="120"/>
              <w:rPr>
                <w:rFonts w:cs="Calibri"/>
              </w:rPr>
            </w:pPr>
          </w:p>
          <w:p w14:paraId="58969B24" w14:textId="77777777" w:rsidR="00E621C3" w:rsidRPr="00957B06" w:rsidRDefault="00E621C3" w:rsidP="004A0252">
            <w:pPr>
              <w:widowControl/>
              <w:autoSpaceDE/>
              <w:autoSpaceDN/>
              <w:spacing w:after="120"/>
              <w:rPr>
                <w:rFonts w:cs="Calibri"/>
              </w:rPr>
            </w:pPr>
          </w:p>
          <w:p w14:paraId="0A0C5E0A" w14:textId="77777777" w:rsidR="00E621C3" w:rsidRPr="00957B06" w:rsidRDefault="00E621C3" w:rsidP="004A0252">
            <w:pPr>
              <w:widowControl/>
              <w:autoSpaceDE/>
              <w:autoSpaceDN/>
              <w:spacing w:after="120"/>
              <w:rPr>
                <w:rFonts w:cs="Calibri"/>
              </w:rPr>
            </w:pPr>
          </w:p>
          <w:p w14:paraId="2FF04F7A" w14:textId="77777777" w:rsidR="00E621C3" w:rsidRPr="00957B06" w:rsidRDefault="00E621C3" w:rsidP="004A0252">
            <w:pPr>
              <w:widowControl/>
              <w:autoSpaceDE/>
              <w:autoSpaceDN/>
              <w:spacing w:after="120"/>
              <w:rPr>
                <w:rFonts w:cs="Calibri"/>
              </w:rPr>
            </w:pPr>
          </w:p>
          <w:p w14:paraId="127146A1" w14:textId="77777777" w:rsidR="00E621C3" w:rsidRPr="00957B06" w:rsidRDefault="00E621C3" w:rsidP="004A0252">
            <w:pPr>
              <w:widowControl/>
              <w:autoSpaceDE/>
              <w:autoSpaceDN/>
              <w:spacing w:after="120"/>
              <w:rPr>
                <w:rFonts w:cs="Calibri"/>
              </w:rPr>
            </w:pPr>
          </w:p>
          <w:p w14:paraId="51F2DBB7" w14:textId="3725A6C2" w:rsidR="00E621C3" w:rsidRPr="00957B06" w:rsidRDefault="00E621C3" w:rsidP="004A0252">
            <w:pPr>
              <w:widowControl/>
              <w:autoSpaceDE/>
              <w:autoSpaceDN/>
              <w:spacing w:after="120"/>
              <w:rPr>
                <w:rFonts w:cs="Calibri"/>
              </w:rPr>
            </w:pPr>
          </w:p>
          <w:p w14:paraId="3A7B40C3" w14:textId="25703BFA" w:rsidR="00387F5F" w:rsidRPr="00957B06" w:rsidRDefault="00387F5F" w:rsidP="004A0252">
            <w:pPr>
              <w:widowControl/>
              <w:autoSpaceDE/>
              <w:autoSpaceDN/>
              <w:spacing w:after="120"/>
              <w:rPr>
                <w:rFonts w:cs="Calibri"/>
              </w:rPr>
            </w:pPr>
          </w:p>
          <w:p w14:paraId="5DB9B611" w14:textId="388A989F" w:rsidR="00387F5F" w:rsidRPr="00957B06" w:rsidRDefault="00387F5F" w:rsidP="004A0252">
            <w:pPr>
              <w:widowControl/>
              <w:autoSpaceDE/>
              <w:autoSpaceDN/>
              <w:spacing w:after="120"/>
              <w:rPr>
                <w:rFonts w:cs="Calibri"/>
              </w:rPr>
            </w:pPr>
          </w:p>
          <w:p w14:paraId="324B1771" w14:textId="0546345F" w:rsidR="00387F5F" w:rsidRPr="00957B06" w:rsidRDefault="00387F5F" w:rsidP="004A0252">
            <w:pPr>
              <w:widowControl/>
              <w:autoSpaceDE/>
              <w:autoSpaceDN/>
              <w:spacing w:after="120"/>
              <w:rPr>
                <w:rFonts w:cs="Calibri"/>
              </w:rPr>
            </w:pPr>
          </w:p>
          <w:p w14:paraId="7153E4FE" w14:textId="77777777" w:rsidR="00D72B2A" w:rsidRPr="00957B06" w:rsidRDefault="00D72B2A" w:rsidP="004A0252">
            <w:pPr>
              <w:widowControl/>
              <w:autoSpaceDE/>
              <w:autoSpaceDN/>
              <w:spacing w:after="120"/>
              <w:rPr>
                <w:rFonts w:cs="Calibri"/>
              </w:rPr>
            </w:pPr>
          </w:p>
          <w:p w14:paraId="29BD30E5" w14:textId="3A84E53A" w:rsidR="00387F5F" w:rsidRPr="00957B06" w:rsidRDefault="00387F5F" w:rsidP="004A0252">
            <w:pPr>
              <w:widowControl/>
              <w:autoSpaceDE/>
              <w:autoSpaceDN/>
              <w:spacing w:after="120"/>
              <w:rPr>
                <w:rFonts w:cs="Calibri"/>
              </w:rPr>
            </w:pPr>
          </w:p>
          <w:p w14:paraId="175AACC7" w14:textId="0CA30572" w:rsidR="00D72B2A" w:rsidRPr="00957B06" w:rsidRDefault="00D72B2A" w:rsidP="004A0252">
            <w:pPr>
              <w:widowControl/>
              <w:autoSpaceDE/>
              <w:autoSpaceDN/>
              <w:spacing w:after="120"/>
              <w:rPr>
                <w:rFonts w:cs="Calibri"/>
              </w:rPr>
            </w:pPr>
          </w:p>
          <w:p w14:paraId="65148DE6" w14:textId="6094A631" w:rsidR="00D72B2A" w:rsidRPr="00957B06" w:rsidRDefault="00D72B2A" w:rsidP="004A0252">
            <w:pPr>
              <w:widowControl/>
              <w:autoSpaceDE/>
              <w:autoSpaceDN/>
              <w:spacing w:after="120"/>
              <w:rPr>
                <w:rFonts w:cs="Calibri"/>
              </w:rPr>
            </w:pPr>
          </w:p>
          <w:p w14:paraId="41B88662" w14:textId="77777777" w:rsidR="00D72B2A" w:rsidRPr="00957B06" w:rsidRDefault="00D72B2A" w:rsidP="004A0252">
            <w:pPr>
              <w:widowControl/>
              <w:autoSpaceDE/>
              <w:autoSpaceDN/>
              <w:spacing w:after="120"/>
              <w:rPr>
                <w:rFonts w:cs="Calibri"/>
              </w:rPr>
            </w:pPr>
          </w:p>
          <w:p w14:paraId="6691489B" w14:textId="77777777" w:rsidR="00D72B2A" w:rsidRPr="00957B06" w:rsidRDefault="00D72B2A" w:rsidP="004A0252">
            <w:pPr>
              <w:widowControl/>
              <w:autoSpaceDE/>
              <w:autoSpaceDN/>
              <w:spacing w:after="120"/>
              <w:rPr>
                <w:rFonts w:cs="Calibri"/>
                <w:b/>
                <w:bCs/>
              </w:rPr>
            </w:pPr>
          </w:p>
          <w:p w14:paraId="58086551" w14:textId="77777777" w:rsidR="00D72B2A" w:rsidRPr="00957B06" w:rsidRDefault="00D72B2A" w:rsidP="004A0252">
            <w:pPr>
              <w:widowControl/>
              <w:autoSpaceDE/>
              <w:autoSpaceDN/>
              <w:spacing w:after="120"/>
              <w:rPr>
                <w:rFonts w:cs="Calibri"/>
                <w:b/>
                <w:bCs/>
              </w:rPr>
            </w:pPr>
          </w:p>
          <w:p w14:paraId="54B33A71" w14:textId="77777777" w:rsidR="00D72B2A" w:rsidRPr="00957B06" w:rsidRDefault="00D72B2A" w:rsidP="004A0252">
            <w:pPr>
              <w:widowControl/>
              <w:autoSpaceDE/>
              <w:autoSpaceDN/>
              <w:spacing w:after="120"/>
              <w:rPr>
                <w:rFonts w:cs="Calibri"/>
                <w:b/>
                <w:bCs/>
              </w:rPr>
            </w:pPr>
          </w:p>
          <w:p w14:paraId="7D4BBFAE" w14:textId="63A6B0A1" w:rsidR="00D72B2A" w:rsidRPr="00957B06" w:rsidRDefault="00D72B2A" w:rsidP="004A0252">
            <w:pPr>
              <w:widowControl/>
              <w:autoSpaceDE/>
              <w:autoSpaceDN/>
              <w:spacing w:after="120"/>
              <w:rPr>
                <w:rFonts w:cs="Calibri"/>
                <w:b/>
                <w:bCs/>
              </w:rPr>
            </w:pPr>
          </w:p>
          <w:p w14:paraId="0CD2F2A6" w14:textId="77777777" w:rsidR="00D72B2A" w:rsidRPr="00957B06" w:rsidRDefault="00D72B2A" w:rsidP="004A0252">
            <w:pPr>
              <w:widowControl/>
              <w:autoSpaceDE/>
              <w:autoSpaceDN/>
              <w:spacing w:after="120"/>
              <w:rPr>
                <w:rFonts w:cs="Calibri"/>
                <w:b/>
                <w:bCs/>
              </w:rPr>
            </w:pPr>
          </w:p>
          <w:p w14:paraId="13320B88" w14:textId="77777777" w:rsidR="00D72B2A" w:rsidRPr="00957B06" w:rsidRDefault="00D72B2A" w:rsidP="004A0252">
            <w:pPr>
              <w:widowControl/>
              <w:autoSpaceDE/>
              <w:autoSpaceDN/>
              <w:spacing w:after="120"/>
              <w:rPr>
                <w:rFonts w:cs="Calibri"/>
                <w:b/>
                <w:bCs/>
              </w:rPr>
            </w:pPr>
          </w:p>
          <w:p w14:paraId="67742723" w14:textId="77777777" w:rsidR="006A4663" w:rsidRPr="00957B06" w:rsidRDefault="006A4663" w:rsidP="004A0252">
            <w:pPr>
              <w:widowControl/>
              <w:autoSpaceDE/>
              <w:autoSpaceDN/>
              <w:spacing w:after="120"/>
              <w:rPr>
                <w:rFonts w:cs="Calibri"/>
                <w:b/>
                <w:bCs/>
              </w:rPr>
            </w:pPr>
          </w:p>
          <w:p w14:paraId="37D48722" w14:textId="77777777" w:rsidR="006A4663" w:rsidRPr="00957B06" w:rsidRDefault="006A4663" w:rsidP="004A0252">
            <w:pPr>
              <w:widowControl/>
              <w:autoSpaceDE/>
              <w:autoSpaceDN/>
              <w:spacing w:after="120"/>
              <w:rPr>
                <w:rFonts w:cs="Calibri"/>
                <w:b/>
                <w:bCs/>
              </w:rPr>
            </w:pPr>
          </w:p>
          <w:p w14:paraId="10111DDB" w14:textId="77777777" w:rsidR="006A4663" w:rsidRPr="00957B06" w:rsidRDefault="006A4663" w:rsidP="004A0252">
            <w:pPr>
              <w:widowControl/>
              <w:autoSpaceDE/>
              <w:autoSpaceDN/>
              <w:spacing w:after="120"/>
              <w:rPr>
                <w:rFonts w:cs="Calibri"/>
                <w:b/>
                <w:bCs/>
              </w:rPr>
            </w:pPr>
          </w:p>
          <w:p w14:paraId="21BDA375" w14:textId="77777777" w:rsidR="006A4663" w:rsidRPr="00957B06" w:rsidRDefault="006A4663" w:rsidP="004A0252">
            <w:pPr>
              <w:widowControl/>
              <w:autoSpaceDE/>
              <w:autoSpaceDN/>
              <w:spacing w:after="120"/>
              <w:rPr>
                <w:rFonts w:cs="Calibri"/>
                <w:b/>
                <w:bCs/>
              </w:rPr>
            </w:pPr>
          </w:p>
          <w:p w14:paraId="110BB7C0" w14:textId="77777777" w:rsidR="006A4663" w:rsidRPr="00957B06" w:rsidRDefault="006A4663" w:rsidP="004A0252">
            <w:pPr>
              <w:widowControl/>
              <w:autoSpaceDE/>
              <w:autoSpaceDN/>
              <w:spacing w:after="120"/>
              <w:rPr>
                <w:rFonts w:cs="Calibri"/>
                <w:b/>
                <w:bCs/>
              </w:rPr>
            </w:pPr>
          </w:p>
          <w:p w14:paraId="3538DD6A" w14:textId="77777777" w:rsidR="006A4663" w:rsidRPr="00957B06" w:rsidRDefault="006A4663" w:rsidP="004A0252">
            <w:pPr>
              <w:widowControl/>
              <w:autoSpaceDE/>
              <w:autoSpaceDN/>
              <w:spacing w:after="120"/>
              <w:rPr>
                <w:rFonts w:cs="Calibri"/>
                <w:b/>
                <w:bCs/>
              </w:rPr>
            </w:pPr>
          </w:p>
          <w:p w14:paraId="5FA89FDB" w14:textId="6178F814" w:rsidR="006A4663" w:rsidRDefault="006A4663" w:rsidP="004A0252">
            <w:pPr>
              <w:widowControl/>
              <w:autoSpaceDE/>
              <w:autoSpaceDN/>
              <w:spacing w:after="120"/>
              <w:rPr>
                <w:rFonts w:cs="Calibri"/>
                <w:b/>
                <w:bCs/>
              </w:rPr>
            </w:pPr>
          </w:p>
          <w:p w14:paraId="78D21238" w14:textId="2E11F152" w:rsidR="0005031D" w:rsidRDefault="0005031D" w:rsidP="004A0252">
            <w:pPr>
              <w:widowControl/>
              <w:autoSpaceDE/>
              <w:autoSpaceDN/>
              <w:spacing w:after="120"/>
              <w:rPr>
                <w:rFonts w:cs="Calibri"/>
                <w:b/>
                <w:bCs/>
              </w:rPr>
            </w:pPr>
          </w:p>
          <w:p w14:paraId="01639DC0" w14:textId="65A782C0" w:rsidR="0005031D" w:rsidRDefault="0005031D" w:rsidP="004A0252">
            <w:pPr>
              <w:widowControl/>
              <w:autoSpaceDE/>
              <w:autoSpaceDN/>
              <w:spacing w:after="120"/>
              <w:rPr>
                <w:rFonts w:cs="Calibri"/>
                <w:b/>
                <w:bCs/>
              </w:rPr>
            </w:pPr>
          </w:p>
          <w:p w14:paraId="664FDBD6" w14:textId="20B18F1D" w:rsidR="0005031D" w:rsidRDefault="0005031D" w:rsidP="004A0252">
            <w:pPr>
              <w:widowControl/>
              <w:autoSpaceDE/>
              <w:autoSpaceDN/>
              <w:spacing w:after="120"/>
              <w:rPr>
                <w:rFonts w:cs="Calibri"/>
                <w:b/>
                <w:bCs/>
              </w:rPr>
            </w:pPr>
          </w:p>
          <w:p w14:paraId="56CC145D" w14:textId="6E3622E7" w:rsidR="0005031D" w:rsidRDefault="0005031D" w:rsidP="004A0252">
            <w:pPr>
              <w:widowControl/>
              <w:autoSpaceDE/>
              <w:autoSpaceDN/>
              <w:spacing w:after="120"/>
              <w:rPr>
                <w:rFonts w:cs="Calibri"/>
                <w:b/>
                <w:bCs/>
              </w:rPr>
            </w:pPr>
          </w:p>
          <w:p w14:paraId="2DE5E012" w14:textId="66D1D898" w:rsidR="0005031D" w:rsidRDefault="0005031D" w:rsidP="004A0252">
            <w:pPr>
              <w:widowControl/>
              <w:autoSpaceDE/>
              <w:autoSpaceDN/>
              <w:spacing w:after="120"/>
              <w:rPr>
                <w:rFonts w:cs="Calibri"/>
                <w:b/>
                <w:bCs/>
              </w:rPr>
            </w:pPr>
          </w:p>
          <w:p w14:paraId="1B6F390E" w14:textId="14EC8EE7" w:rsidR="0005031D" w:rsidRDefault="0005031D" w:rsidP="004A0252">
            <w:pPr>
              <w:widowControl/>
              <w:autoSpaceDE/>
              <w:autoSpaceDN/>
              <w:spacing w:after="120"/>
              <w:rPr>
                <w:rFonts w:cs="Calibri"/>
                <w:b/>
                <w:bCs/>
              </w:rPr>
            </w:pPr>
          </w:p>
          <w:p w14:paraId="5232EBF7" w14:textId="77777777" w:rsidR="0005031D" w:rsidRPr="00957B06" w:rsidRDefault="0005031D" w:rsidP="004A0252">
            <w:pPr>
              <w:widowControl/>
              <w:autoSpaceDE/>
              <w:autoSpaceDN/>
              <w:spacing w:after="120"/>
              <w:rPr>
                <w:rFonts w:cs="Calibri"/>
                <w:b/>
                <w:bCs/>
              </w:rPr>
            </w:pPr>
          </w:p>
          <w:p w14:paraId="57695571" w14:textId="61930160" w:rsidR="00E452CE" w:rsidRPr="00957B06" w:rsidRDefault="00E452CE" w:rsidP="004A0252">
            <w:pPr>
              <w:widowControl/>
              <w:autoSpaceDE/>
              <w:autoSpaceDN/>
              <w:spacing w:after="120"/>
              <w:rPr>
                <w:rFonts w:cs="Calibri"/>
                <w:b/>
                <w:bCs/>
              </w:rPr>
            </w:pPr>
            <w:r w:rsidRPr="00957B06">
              <w:rPr>
                <w:rFonts w:cs="Calibri"/>
                <w:b/>
                <w:bCs/>
              </w:rPr>
              <w:t>Przewidywane skutki społeczne ustawy o charakterze szczegółowym to:</w:t>
            </w:r>
          </w:p>
          <w:p w14:paraId="2F80BA30" w14:textId="39B3FA97" w:rsidR="00D72B2A" w:rsidRPr="00957B06" w:rsidRDefault="00E452CE" w:rsidP="00D72B2A">
            <w:pPr>
              <w:pStyle w:val="Akapitzlist"/>
              <w:numPr>
                <w:ilvl w:val="0"/>
                <w:numId w:val="25"/>
              </w:numPr>
              <w:ind w:left="435" w:hanging="283"/>
            </w:pPr>
            <w:r w:rsidRPr="00957B06">
              <w:rPr>
                <w:rFonts w:cs="Calibri"/>
              </w:rPr>
              <w:t xml:space="preserve">przyspieszenie procesu poprawy dostępności podmiotów publicznych i umożliwienie osobom ze szczególnymi potrzebami uczestniczenia w życiu </w:t>
            </w:r>
            <w:r w:rsidRPr="00957B06">
              <w:rPr>
                <w:rFonts w:cs="Calibri"/>
              </w:rPr>
              <w:lastRenderedPageBreak/>
              <w:t>publicznym na równi z innymi, w sposób możliwie samodzielny;</w:t>
            </w:r>
          </w:p>
          <w:p w14:paraId="0637808A" w14:textId="77777777" w:rsidR="00D72B2A" w:rsidRPr="00957B06" w:rsidRDefault="00D72B2A" w:rsidP="003D325A">
            <w:pPr>
              <w:pStyle w:val="Akapitzlist"/>
              <w:ind w:left="435" w:firstLine="0"/>
            </w:pPr>
          </w:p>
          <w:p w14:paraId="345FA269" w14:textId="7599F429" w:rsidR="00350103" w:rsidRPr="00957B06" w:rsidRDefault="00E452CE" w:rsidP="00BA6A6E">
            <w:pPr>
              <w:pStyle w:val="Akapitzlist"/>
              <w:numPr>
                <w:ilvl w:val="0"/>
                <w:numId w:val="25"/>
              </w:numPr>
              <w:ind w:left="435" w:hanging="283"/>
            </w:pPr>
            <w:r w:rsidRPr="00957B06">
              <w:rPr>
                <w:rFonts w:cs="Calibri"/>
              </w:rPr>
              <w:t xml:space="preserve">wprowadzenie do podmiotów publicznych podejścia do obywatela jak do klienta oczekującego usług państwowych na wysokim poziomie. Poprawa jakości usług publicznych i obsługi w urzędach prowadzi do wzrostu zaufania obywateli do państwa i jego instytucji, </w:t>
            </w:r>
            <w:r w:rsidR="00AC28D2" w:rsidRPr="00957B06">
              <w:t>co w konsekwencji może przyczyniać się do poprawy jakości życia obywateli</w:t>
            </w:r>
            <w:r w:rsidRPr="00957B06">
              <w:rPr>
                <w:rFonts w:cs="Calibri"/>
              </w:rPr>
              <w:t>,  zwiększa poziom kapitału społecznego i redukuje koszty transakcyjne;</w:t>
            </w:r>
          </w:p>
          <w:p w14:paraId="48956C00" w14:textId="77777777" w:rsidR="003D325A" w:rsidRPr="00957B06" w:rsidRDefault="003D325A" w:rsidP="00D72B2A"/>
          <w:p w14:paraId="6B0B61B7" w14:textId="0F046898" w:rsidR="0022730B" w:rsidRPr="00957B06" w:rsidRDefault="00E452CE" w:rsidP="00C14D56">
            <w:pPr>
              <w:widowControl/>
              <w:numPr>
                <w:ilvl w:val="0"/>
                <w:numId w:val="25"/>
              </w:numPr>
              <w:autoSpaceDE/>
              <w:autoSpaceDN/>
              <w:spacing w:after="120"/>
              <w:ind w:left="435" w:hanging="283"/>
              <w:rPr>
                <w:rFonts w:cs="Calibri"/>
              </w:rPr>
            </w:pPr>
            <w:r w:rsidRPr="00957B06">
              <w:rPr>
                <w:rFonts w:cs="Calibri"/>
              </w:rPr>
              <w:t xml:space="preserve">wprowadzenie do polskiego systemu prawnego definicji osoby ze szczególnymi potrzebami, definicji uniwersalnego projektowania i racjonalnych usprawnień, co skutkować </w:t>
            </w:r>
            <w:r w:rsidR="00236678" w:rsidRPr="00957B06">
              <w:rPr>
                <w:rFonts w:cs="Calibri"/>
              </w:rPr>
              <w:t>miało</w:t>
            </w:r>
            <w:r w:rsidRPr="00957B06">
              <w:rPr>
                <w:rFonts w:cs="Calibri"/>
              </w:rPr>
              <w:t xml:space="preserve"> zwiększeniem podaży dostępnej architektury – także poza sferą publiczną ze względu na szerszy charakter oddziaływania ustawy (zobowiązanie podmiotów korzystających ze środków publicznych do zapewniania dostępności w zakresie wykorzystania tych środków);</w:t>
            </w:r>
          </w:p>
          <w:p w14:paraId="7E403A83" w14:textId="17EB0B73" w:rsidR="0022730B" w:rsidRPr="00957B06" w:rsidRDefault="00350103" w:rsidP="00C14D56">
            <w:pPr>
              <w:widowControl/>
              <w:numPr>
                <w:ilvl w:val="0"/>
                <w:numId w:val="25"/>
              </w:numPr>
              <w:autoSpaceDE/>
              <w:autoSpaceDN/>
              <w:spacing w:after="120"/>
              <w:ind w:left="435" w:hanging="283"/>
              <w:rPr>
                <w:rFonts w:cs="Calibri"/>
              </w:rPr>
            </w:pPr>
            <w:r w:rsidRPr="00957B06">
              <w:rPr>
                <w:rFonts w:cs="Calibri"/>
              </w:rPr>
              <w:t>zaproponowanie narzędzia w postaci fakultatywnej certyfikacji dostępności. Dla certyfikowanego podmiotu  certyfikat to potwierdzenie dostępności na rzecz osób z ograniczoną sprawnością. Dla osób trzecich – to wyraźny sygnał, że dany podmiot zwiększa dostępność swojego obiektu dla co najmniej dodatkowych 12% społeczeństwa;</w:t>
            </w:r>
          </w:p>
          <w:p w14:paraId="7A882FEF" w14:textId="60FDC700" w:rsidR="00350103" w:rsidRPr="00957B06" w:rsidRDefault="00350103" w:rsidP="003D325A">
            <w:pPr>
              <w:widowControl/>
              <w:numPr>
                <w:ilvl w:val="0"/>
                <w:numId w:val="25"/>
              </w:numPr>
              <w:autoSpaceDE/>
              <w:autoSpaceDN/>
              <w:spacing w:after="120"/>
              <w:ind w:left="435" w:hanging="283"/>
              <w:rPr>
                <w:rFonts w:cs="Calibri"/>
              </w:rPr>
            </w:pPr>
            <w:r w:rsidRPr="00957B06">
              <w:rPr>
                <w:rFonts w:cs="Calibri"/>
              </w:rPr>
              <w:t xml:space="preserve">elastyczność zapisów ustawy dająca możliwość spełnienia nałożonych obowiązków – przy zachowaniu celu któremu ona służy a wiec zapewnieniu faktycznej dostępności do podmiotów publicznych objętych regulacją. Ideą ustawy nie było zmuszanie do budowania nowych budynków ale wskazanie rozwiązań, które zapewnią że każdy obywatel będzie miał możliwość skorzystania z usług podmiotu publicznego;  </w:t>
            </w:r>
          </w:p>
          <w:p w14:paraId="77849FFB" w14:textId="77777777" w:rsidR="00350103" w:rsidRPr="00957B06" w:rsidRDefault="00350103" w:rsidP="003D325A">
            <w:pPr>
              <w:widowControl/>
              <w:numPr>
                <w:ilvl w:val="0"/>
                <w:numId w:val="25"/>
              </w:numPr>
              <w:autoSpaceDE/>
              <w:autoSpaceDN/>
              <w:spacing w:after="120"/>
              <w:ind w:left="435" w:hanging="283"/>
              <w:rPr>
                <w:rFonts w:cs="Calibri"/>
              </w:rPr>
            </w:pPr>
            <w:r w:rsidRPr="00957B06">
              <w:rPr>
                <w:rFonts w:cs="Calibri"/>
              </w:rPr>
              <w:t>istotnym krokiem na przód w zapewnieniu dostępności dla wszystkich obywateli jest m.in. wyznaczenie osoby odpowiedzialnej za dostępność podmiotu i za koordynowanie procesu zapewniania dostępności na poziomie urzędu. Część urzędów samorządowych już od wielu lat na własną rękę rozwija ten proces i wyznacza pracowników odpowiedzialnych w tym zakresie, jednak są to z reguły duże miasta. Dzięki ustawie ten mechanizm wsparcia stanie się powszechnie dostępny nawet w mniejszych miejscowościach;</w:t>
            </w:r>
          </w:p>
          <w:p w14:paraId="35FA46D6" w14:textId="77777777" w:rsidR="00350103" w:rsidRPr="00957B06" w:rsidRDefault="00350103" w:rsidP="003D325A">
            <w:pPr>
              <w:widowControl/>
              <w:numPr>
                <w:ilvl w:val="0"/>
                <w:numId w:val="25"/>
              </w:numPr>
              <w:autoSpaceDE/>
              <w:autoSpaceDN/>
              <w:spacing w:after="120"/>
              <w:ind w:left="435" w:hanging="283"/>
              <w:rPr>
                <w:rFonts w:cs="Calibri"/>
              </w:rPr>
            </w:pPr>
            <w:r w:rsidRPr="00957B06">
              <w:rPr>
                <w:rFonts w:cs="Calibri"/>
              </w:rPr>
              <w:t>ustawa proponuje także szereg zmian w przepisach szczegółowych, które ułatwią codzienne funkcjonowanie w przestrzeni publicznej i pomogą w załatwieniu codziennych spraw osób ze szczególnymi potrzebami – m.in.:</w:t>
            </w:r>
          </w:p>
          <w:p w14:paraId="5D7C53E3" w14:textId="77777777" w:rsidR="00350103" w:rsidRPr="00957B06" w:rsidRDefault="00350103" w:rsidP="003D325A">
            <w:pPr>
              <w:widowControl/>
              <w:numPr>
                <w:ilvl w:val="0"/>
                <w:numId w:val="6"/>
              </w:numPr>
              <w:autoSpaceDE/>
              <w:autoSpaceDN/>
              <w:spacing w:after="120"/>
              <w:ind w:left="435" w:hanging="283"/>
              <w:rPr>
                <w:rFonts w:cs="Calibri"/>
              </w:rPr>
            </w:pPr>
            <w:r w:rsidRPr="00957B06">
              <w:rPr>
                <w:rFonts w:cs="Calibri"/>
              </w:rPr>
              <w:t>wprowadzenie dostępności do wymogów formalnych, jakim powinny odpowiadać zgłaszane projekty w ramach budżetu obywatelskiego;</w:t>
            </w:r>
          </w:p>
          <w:p w14:paraId="0CDD742D" w14:textId="77777777" w:rsidR="00350103" w:rsidRPr="00957B06" w:rsidRDefault="00350103" w:rsidP="003D325A">
            <w:pPr>
              <w:widowControl/>
              <w:numPr>
                <w:ilvl w:val="0"/>
                <w:numId w:val="6"/>
              </w:numPr>
              <w:autoSpaceDE/>
              <w:autoSpaceDN/>
              <w:spacing w:after="120"/>
              <w:ind w:left="435" w:hanging="283"/>
              <w:rPr>
                <w:rFonts w:cs="Calibri"/>
              </w:rPr>
            </w:pPr>
            <w:r w:rsidRPr="00957B06">
              <w:rPr>
                <w:rFonts w:cs="Calibri"/>
              </w:rPr>
              <w:t xml:space="preserve">ustanowienie obowiązku wskazywania przez instytucje kultury, w jaki wykorzystanie środków z </w:t>
            </w:r>
            <w:r w:rsidRPr="00957B06">
              <w:rPr>
                <w:rFonts w:cs="Calibri"/>
              </w:rPr>
              <w:lastRenderedPageBreak/>
              <w:t>dotacji celowej uwzględni potrzeby osób ze szczególnymi potrzebami;</w:t>
            </w:r>
          </w:p>
          <w:p w14:paraId="2914A1D9" w14:textId="75F84368" w:rsidR="00350103" w:rsidRPr="00957B06" w:rsidRDefault="00350103" w:rsidP="003D325A">
            <w:pPr>
              <w:widowControl/>
              <w:numPr>
                <w:ilvl w:val="0"/>
                <w:numId w:val="6"/>
              </w:numPr>
              <w:autoSpaceDE/>
              <w:autoSpaceDN/>
              <w:spacing w:after="120"/>
              <w:ind w:left="435" w:hanging="283"/>
              <w:rPr>
                <w:rFonts w:cs="Calibri"/>
              </w:rPr>
            </w:pPr>
            <w:r w:rsidRPr="00957B06">
              <w:rPr>
                <w:rFonts w:cs="Calibri"/>
              </w:rPr>
              <w:t>wprowadzenie możliwości uzyskania dofinansowania do zamiany mieszkania, w sytuacji braku możliwości dostosowania dotychczas zajmowanego lub jeżeli dostosowanie jest nieracjonalne ekonomicznie;</w:t>
            </w:r>
          </w:p>
          <w:p w14:paraId="35B38E75" w14:textId="77777777" w:rsidR="00350103" w:rsidRPr="00957B06" w:rsidRDefault="00350103" w:rsidP="007F2F73">
            <w:pPr>
              <w:pStyle w:val="Akapitzlist"/>
              <w:rPr>
                <w:rFonts w:cs="Calibri"/>
              </w:rPr>
            </w:pPr>
          </w:p>
          <w:p w14:paraId="2277A58A" w14:textId="2D73BB49" w:rsidR="00350103" w:rsidRPr="00957B06" w:rsidRDefault="00350103" w:rsidP="007F2F73">
            <w:pPr>
              <w:widowControl/>
              <w:numPr>
                <w:ilvl w:val="0"/>
                <w:numId w:val="6"/>
              </w:numPr>
              <w:autoSpaceDE/>
              <w:autoSpaceDN/>
              <w:spacing w:after="120"/>
              <w:ind w:left="435" w:hanging="283"/>
              <w:rPr>
                <w:rFonts w:cs="Calibri"/>
              </w:rPr>
            </w:pPr>
            <w:r w:rsidRPr="00957B06">
              <w:rPr>
                <w:rFonts w:cs="Calibri"/>
              </w:rPr>
              <w:t>wprowadzenie prawa do otrzymywania ogólnych warunków umów prawa bankowego oraz regulaminów w formach dostępnych dla potrzeb osób z niepełnosprawnościami takich jak: nagranie audio, nagranie wizualne treści w Polskim Języku Migowym, wydruk w alfabecie Braille’a;</w:t>
            </w:r>
          </w:p>
          <w:p w14:paraId="63167406" w14:textId="77777777" w:rsidR="00350103" w:rsidRPr="00957B06" w:rsidRDefault="00350103" w:rsidP="007F2F73">
            <w:pPr>
              <w:widowControl/>
              <w:numPr>
                <w:ilvl w:val="0"/>
                <w:numId w:val="6"/>
              </w:numPr>
              <w:autoSpaceDE/>
              <w:autoSpaceDN/>
              <w:spacing w:after="120"/>
              <w:ind w:left="435" w:hanging="283"/>
              <w:rPr>
                <w:rFonts w:cs="Calibri"/>
              </w:rPr>
            </w:pPr>
            <w:r w:rsidRPr="00957B06">
              <w:rPr>
                <w:rFonts w:cs="Calibri"/>
              </w:rPr>
              <w:t>prawo do otrzymania w szpitalu informacji o stanie zdrowia, w sposób zrozumiały, w szczególności w formie dostosowanej do możliwości percepcyjnych i potrzeb komunikacyjnych (np. w języku migowym).</w:t>
            </w:r>
          </w:p>
          <w:p w14:paraId="6F6E02A9" w14:textId="77777777" w:rsidR="00350103" w:rsidRPr="00957B06" w:rsidRDefault="00350103" w:rsidP="007F2F73">
            <w:pPr>
              <w:widowControl/>
              <w:autoSpaceDE/>
              <w:autoSpaceDN/>
              <w:spacing w:after="120"/>
              <w:ind w:left="1069"/>
              <w:rPr>
                <w:rFonts w:cs="Calibri"/>
              </w:rPr>
            </w:pPr>
          </w:p>
          <w:p w14:paraId="73CA5F36" w14:textId="77777777" w:rsidR="00350103" w:rsidRPr="00957B06" w:rsidRDefault="00350103" w:rsidP="00CF233B">
            <w:pPr>
              <w:widowControl/>
              <w:autoSpaceDE/>
              <w:autoSpaceDN/>
              <w:spacing w:after="120"/>
              <w:ind w:left="1069"/>
              <w:rPr>
                <w:rFonts w:cs="Calibri"/>
              </w:rPr>
            </w:pPr>
          </w:p>
          <w:p w14:paraId="328AADE0" w14:textId="77777777" w:rsidR="00350103" w:rsidRPr="00957B06" w:rsidRDefault="00350103" w:rsidP="00CF233B">
            <w:pPr>
              <w:widowControl/>
              <w:autoSpaceDE/>
              <w:autoSpaceDN/>
              <w:spacing w:after="120"/>
              <w:ind w:left="720"/>
              <w:rPr>
                <w:rFonts w:cs="Calibri"/>
              </w:rPr>
            </w:pPr>
          </w:p>
          <w:p w14:paraId="135BF9C2" w14:textId="4A89510E" w:rsidR="000E6405" w:rsidRPr="00957B06" w:rsidRDefault="000E6405" w:rsidP="000E6405">
            <w:pPr>
              <w:widowControl/>
              <w:autoSpaceDE/>
              <w:autoSpaceDN/>
              <w:spacing w:after="120"/>
              <w:rPr>
                <w:rFonts w:cs="Calibri"/>
              </w:rPr>
            </w:pPr>
          </w:p>
          <w:p w14:paraId="1A09593B" w14:textId="22952180" w:rsidR="00001377" w:rsidRPr="00957B06" w:rsidRDefault="00001377" w:rsidP="00001377">
            <w:pPr>
              <w:widowControl/>
              <w:autoSpaceDE/>
              <w:autoSpaceDN/>
              <w:spacing w:after="120"/>
              <w:rPr>
                <w:rFonts w:cs="Calibri"/>
              </w:rPr>
            </w:pPr>
          </w:p>
          <w:p w14:paraId="4E32E798" w14:textId="11EB7F9F" w:rsidR="007F2F73" w:rsidRPr="00957B06" w:rsidRDefault="007F2F73" w:rsidP="00001377">
            <w:pPr>
              <w:widowControl/>
              <w:autoSpaceDE/>
              <w:autoSpaceDN/>
              <w:spacing w:after="120"/>
              <w:rPr>
                <w:rFonts w:cs="Calibri"/>
              </w:rPr>
            </w:pPr>
          </w:p>
          <w:p w14:paraId="128BC298" w14:textId="16B4EDCE" w:rsidR="007F2F73" w:rsidRPr="00957B06" w:rsidRDefault="007F2F73" w:rsidP="00001377">
            <w:pPr>
              <w:widowControl/>
              <w:autoSpaceDE/>
              <w:autoSpaceDN/>
              <w:spacing w:after="120"/>
              <w:rPr>
                <w:rFonts w:cs="Calibri"/>
              </w:rPr>
            </w:pPr>
          </w:p>
          <w:p w14:paraId="3613AE3C" w14:textId="2C1008B1" w:rsidR="007F2F73" w:rsidRPr="00957B06" w:rsidRDefault="007F2F73" w:rsidP="00001377">
            <w:pPr>
              <w:widowControl/>
              <w:autoSpaceDE/>
              <w:autoSpaceDN/>
              <w:spacing w:after="120"/>
              <w:rPr>
                <w:rFonts w:cs="Calibri"/>
              </w:rPr>
            </w:pPr>
          </w:p>
          <w:p w14:paraId="7E2A406B" w14:textId="35F64C12" w:rsidR="007F2F73" w:rsidRPr="00957B06" w:rsidRDefault="007F2F73" w:rsidP="00001377">
            <w:pPr>
              <w:widowControl/>
              <w:autoSpaceDE/>
              <w:autoSpaceDN/>
              <w:spacing w:after="120"/>
              <w:rPr>
                <w:rFonts w:cs="Calibri"/>
              </w:rPr>
            </w:pPr>
          </w:p>
          <w:p w14:paraId="44D12A7A" w14:textId="27575F4A" w:rsidR="007F2F73" w:rsidRPr="00957B06" w:rsidRDefault="007F2F73" w:rsidP="00001377">
            <w:pPr>
              <w:widowControl/>
              <w:autoSpaceDE/>
              <w:autoSpaceDN/>
              <w:spacing w:after="120"/>
              <w:rPr>
                <w:rFonts w:cs="Calibri"/>
              </w:rPr>
            </w:pPr>
          </w:p>
          <w:p w14:paraId="5DEF72F9" w14:textId="461A932C" w:rsidR="007F2F73" w:rsidRPr="00957B06" w:rsidRDefault="007F2F73" w:rsidP="00001377">
            <w:pPr>
              <w:widowControl/>
              <w:autoSpaceDE/>
              <w:autoSpaceDN/>
              <w:spacing w:after="120"/>
              <w:rPr>
                <w:rFonts w:cs="Calibri"/>
              </w:rPr>
            </w:pPr>
          </w:p>
          <w:p w14:paraId="048CDB3A" w14:textId="2AC2E430" w:rsidR="007F2F73" w:rsidRPr="00957B06" w:rsidRDefault="007F2F73" w:rsidP="00001377">
            <w:pPr>
              <w:widowControl/>
              <w:autoSpaceDE/>
              <w:autoSpaceDN/>
              <w:spacing w:after="120"/>
              <w:rPr>
                <w:rFonts w:cs="Calibri"/>
              </w:rPr>
            </w:pPr>
          </w:p>
          <w:p w14:paraId="11B8CE0C" w14:textId="79C55635" w:rsidR="007F2F73" w:rsidRPr="00957B06" w:rsidRDefault="007F2F73" w:rsidP="00001377">
            <w:pPr>
              <w:widowControl/>
              <w:autoSpaceDE/>
              <w:autoSpaceDN/>
              <w:spacing w:after="120"/>
              <w:rPr>
                <w:rFonts w:cs="Calibri"/>
              </w:rPr>
            </w:pPr>
          </w:p>
          <w:p w14:paraId="228923C5" w14:textId="022E016E" w:rsidR="007F2F73" w:rsidRPr="00957B06" w:rsidRDefault="007F2F73" w:rsidP="00001377">
            <w:pPr>
              <w:widowControl/>
              <w:autoSpaceDE/>
              <w:autoSpaceDN/>
              <w:spacing w:after="120"/>
              <w:rPr>
                <w:rFonts w:cs="Calibri"/>
              </w:rPr>
            </w:pPr>
          </w:p>
          <w:p w14:paraId="39F989AA" w14:textId="35231B26" w:rsidR="007F2F73" w:rsidRPr="00957B06" w:rsidRDefault="007F2F73" w:rsidP="00001377">
            <w:pPr>
              <w:widowControl/>
              <w:autoSpaceDE/>
              <w:autoSpaceDN/>
              <w:spacing w:after="120"/>
              <w:rPr>
                <w:rFonts w:cs="Calibri"/>
              </w:rPr>
            </w:pPr>
          </w:p>
          <w:p w14:paraId="1ED549DD" w14:textId="777F5A94" w:rsidR="007F2F73" w:rsidRPr="00957B06" w:rsidRDefault="007F2F73" w:rsidP="00001377">
            <w:pPr>
              <w:widowControl/>
              <w:autoSpaceDE/>
              <w:autoSpaceDN/>
              <w:spacing w:after="120"/>
              <w:rPr>
                <w:rFonts w:cs="Calibri"/>
              </w:rPr>
            </w:pPr>
          </w:p>
          <w:p w14:paraId="6BC2E1EA" w14:textId="2E61BB7B" w:rsidR="007F2F73" w:rsidRPr="00957B06" w:rsidRDefault="007F2F73" w:rsidP="00001377">
            <w:pPr>
              <w:widowControl/>
              <w:autoSpaceDE/>
              <w:autoSpaceDN/>
              <w:spacing w:after="120"/>
              <w:rPr>
                <w:rFonts w:cs="Calibri"/>
              </w:rPr>
            </w:pPr>
          </w:p>
          <w:p w14:paraId="76621FB1" w14:textId="2D66CA7B" w:rsidR="007F2F73" w:rsidRPr="00957B06" w:rsidRDefault="007F2F73" w:rsidP="00001377">
            <w:pPr>
              <w:widowControl/>
              <w:autoSpaceDE/>
              <w:autoSpaceDN/>
              <w:spacing w:after="120"/>
              <w:rPr>
                <w:rFonts w:cs="Calibri"/>
              </w:rPr>
            </w:pPr>
          </w:p>
          <w:p w14:paraId="5B7289DA" w14:textId="541F60BD" w:rsidR="007F2F73" w:rsidRPr="00957B06" w:rsidRDefault="007F2F73" w:rsidP="00001377">
            <w:pPr>
              <w:widowControl/>
              <w:autoSpaceDE/>
              <w:autoSpaceDN/>
              <w:spacing w:after="120"/>
              <w:rPr>
                <w:rFonts w:cs="Calibri"/>
              </w:rPr>
            </w:pPr>
          </w:p>
          <w:p w14:paraId="52CF05C1" w14:textId="6B1CA7CF" w:rsidR="007F2F73" w:rsidRPr="00957B06" w:rsidRDefault="007F2F73" w:rsidP="00001377">
            <w:pPr>
              <w:widowControl/>
              <w:autoSpaceDE/>
              <w:autoSpaceDN/>
              <w:spacing w:after="120"/>
              <w:rPr>
                <w:rFonts w:cs="Calibri"/>
              </w:rPr>
            </w:pPr>
          </w:p>
          <w:p w14:paraId="455EA337" w14:textId="5AA847ED" w:rsidR="007F2F73" w:rsidRPr="00957B06" w:rsidRDefault="007F2F73" w:rsidP="00001377">
            <w:pPr>
              <w:widowControl/>
              <w:autoSpaceDE/>
              <w:autoSpaceDN/>
              <w:spacing w:after="120"/>
              <w:rPr>
                <w:rFonts w:cs="Calibri"/>
              </w:rPr>
            </w:pPr>
          </w:p>
          <w:p w14:paraId="04DC2BDD" w14:textId="0D8B6BD2" w:rsidR="007F2F73" w:rsidRPr="00957B06" w:rsidRDefault="007F2F73" w:rsidP="00001377">
            <w:pPr>
              <w:widowControl/>
              <w:autoSpaceDE/>
              <w:autoSpaceDN/>
              <w:spacing w:after="120"/>
              <w:rPr>
                <w:rFonts w:cs="Calibri"/>
              </w:rPr>
            </w:pPr>
          </w:p>
          <w:p w14:paraId="38B4030C" w14:textId="6CE5C031" w:rsidR="007F2F73" w:rsidRPr="00957B06" w:rsidRDefault="007F2F73" w:rsidP="00001377">
            <w:pPr>
              <w:widowControl/>
              <w:autoSpaceDE/>
              <w:autoSpaceDN/>
              <w:spacing w:after="120"/>
              <w:rPr>
                <w:rFonts w:cs="Calibri"/>
              </w:rPr>
            </w:pPr>
          </w:p>
          <w:p w14:paraId="450B1A07" w14:textId="55F24CB1" w:rsidR="007F2F73" w:rsidRPr="00957B06" w:rsidRDefault="007F2F73" w:rsidP="00001377">
            <w:pPr>
              <w:widowControl/>
              <w:autoSpaceDE/>
              <w:autoSpaceDN/>
              <w:spacing w:after="120"/>
              <w:rPr>
                <w:rFonts w:cs="Calibri"/>
              </w:rPr>
            </w:pPr>
          </w:p>
          <w:p w14:paraId="4B750D73" w14:textId="6491C4E0" w:rsidR="007F2F73" w:rsidRPr="00957B06" w:rsidRDefault="007F2F73" w:rsidP="00001377">
            <w:pPr>
              <w:widowControl/>
              <w:autoSpaceDE/>
              <w:autoSpaceDN/>
              <w:spacing w:after="120"/>
              <w:rPr>
                <w:rFonts w:cs="Calibri"/>
              </w:rPr>
            </w:pPr>
          </w:p>
          <w:p w14:paraId="473AA5E2" w14:textId="2FFAA725" w:rsidR="007F2F73" w:rsidRPr="00957B06" w:rsidRDefault="007F2F73" w:rsidP="00001377">
            <w:pPr>
              <w:widowControl/>
              <w:autoSpaceDE/>
              <w:autoSpaceDN/>
              <w:spacing w:after="120"/>
              <w:rPr>
                <w:rFonts w:cs="Calibri"/>
              </w:rPr>
            </w:pPr>
          </w:p>
          <w:p w14:paraId="3DEAFA54" w14:textId="7A9231B8" w:rsidR="007F2F73" w:rsidRPr="00957B06" w:rsidRDefault="007F2F73" w:rsidP="00001377">
            <w:pPr>
              <w:widowControl/>
              <w:autoSpaceDE/>
              <w:autoSpaceDN/>
              <w:spacing w:after="120"/>
              <w:rPr>
                <w:rFonts w:cs="Calibri"/>
              </w:rPr>
            </w:pPr>
          </w:p>
          <w:p w14:paraId="558A4B71" w14:textId="357D0199" w:rsidR="007F2F73" w:rsidRPr="00957B06" w:rsidRDefault="007F2F73" w:rsidP="00001377">
            <w:pPr>
              <w:widowControl/>
              <w:autoSpaceDE/>
              <w:autoSpaceDN/>
              <w:spacing w:after="120"/>
              <w:rPr>
                <w:rFonts w:cs="Calibri"/>
              </w:rPr>
            </w:pPr>
          </w:p>
          <w:p w14:paraId="17B3125E" w14:textId="4BD45413" w:rsidR="007F2F73" w:rsidRPr="00957B06" w:rsidRDefault="007F2F73" w:rsidP="00001377">
            <w:pPr>
              <w:widowControl/>
              <w:autoSpaceDE/>
              <w:autoSpaceDN/>
              <w:spacing w:after="120"/>
              <w:rPr>
                <w:rFonts w:cs="Calibri"/>
              </w:rPr>
            </w:pPr>
          </w:p>
          <w:p w14:paraId="2BAA3206" w14:textId="3B4DD0D8" w:rsidR="007F2F73" w:rsidRPr="00957B06" w:rsidRDefault="007F2F73" w:rsidP="00001377">
            <w:pPr>
              <w:widowControl/>
              <w:autoSpaceDE/>
              <w:autoSpaceDN/>
              <w:spacing w:after="120"/>
              <w:rPr>
                <w:rFonts w:cs="Calibri"/>
              </w:rPr>
            </w:pPr>
          </w:p>
          <w:p w14:paraId="3351BEF1" w14:textId="62170089" w:rsidR="007F2F73" w:rsidRPr="00957B06" w:rsidRDefault="007F2F73" w:rsidP="00001377">
            <w:pPr>
              <w:widowControl/>
              <w:autoSpaceDE/>
              <w:autoSpaceDN/>
              <w:spacing w:after="120"/>
              <w:rPr>
                <w:rFonts w:cs="Calibri"/>
              </w:rPr>
            </w:pPr>
          </w:p>
          <w:p w14:paraId="277C7192" w14:textId="6C1DB3CC" w:rsidR="007F2F73" w:rsidRPr="00957B06" w:rsidRDefault="007F2F73" w:rsidP="00001377">
            <w:pPr>
              <w:widowControl/>
              <w:autoSpaceDE/>
              <w:autoSpaceDN/>
              <w:spacing w:after="120"/>
              <w:rPr>
                <w:rFonts w:cs="Calibri"/>
              </w:rPr>
            </w:pPr>
          </w:p>
          <w:p w14:paraId="4A877712" w14:textId="49EFBEFC" w:rsidR="007F2F73" w:rsidRPr="00957B06" w:rsidRDefault="007F2F73" w:rsidP="00001377">
            <w:pPr>
              <w:widowControl/>
              <w:autoSpaceDE/>
              <w:autoSpaceDN/>
              <w:spacing w:after="120"/>
              <w:rPr>
                <w:rFonts w:cs="Calibri"/>
              </w:rPr>
            </w:pPr>
          </w:p>
          <w:p w14:paraId="0D7EB466" w14:textId="50DB6147" w:rsidR="007F2F73" w:rsidRPr="00957B06" w:rsidRDefault="007F2F73" w:rsidP="00001377">
            <w:pPr>
              <w:widowControl/>
              <w:autoSpaceDE/>
              <w:autoSpaceDN/>
              <w:spacing w:after="120"/>
              <w:rPr>
                <w:rFonts w:cs="Calibri"/>
              </w:rPr>
            </w:pPr>
          </w:p>
          <w:p w14:paraId="0B2FD1CA" w14:textId="448FE290" w:rsidR="007F2F73" w:rsidRPr="00957B06" w:rsidRDefault="007F2F73" w:rsidP="00001377">
            <w:pPr>
              <w:widowControl/>
              <w:autoSpaceDE/>
              <w:autoSpaceDN/>
              <w:spacing w:after="120"/>
              <w:rPr>
                <w:rFonts w:cs="Calibri"/>
              </w:rPr>
            </w:pPr>
          </w:p>
          <w:p w14:paraId="5EF38048" w14:textId="3E8D3F6B" w:rsidR="007F2F73" w:rsidRPr="00957B06" w:rsidRDefault="007F2F73" w:rsidP="00001377">
            <w:pPr>
              <w:widowControl/>
              <w:autoSpaceDE/>
              <w:autoSpaceDN/>
              <w:spacing w:after="120"/>
              <w:rPr>
                <w:rFonts w:cs="Calibri"/>
              </w:rPr>
            </w:pPr>
          </w:p>
          <w:p w14:paraId="4BC6CFFA" w14:textId="25257713" w:rsidR="007F2F73" w:rsidRPr="00957B06" w:rsidRDefault="007F2F73" w:rsidP="00001377">
            <w:pPr>
              <w:widowControl/>
              <w:autoSpaceDE/>
              <w:autoSpaceDN/>
              <w:spacing w:after="120"/>
              <w:rPr>
                <w:rFonts w:cs="Calibri"/>
              </w:rPr>
            </w:pPr>
          </w:p>
          <w:p w14:paraId="2955D1CB" w14:textId="5C5E33EF" w:rsidR="007F2F73" w:rsidRPr="00957B06" w:rsidRDefault="007F2F73" w:rsidP="00001377">
            <w:pPr>
              <w:widowControl/>
              <w:autoSpaceDE/>
              <w:autoSpaceDN/>
              <w:spacing w:after="120"/>
              <w:rPr>
                <w:rFonts w:cs="Calibri"/>
              </w:rPr>
            </w:pPr>
          </w:p>
          <w:p w14:paraId="24FB33D7" w14:textId="540074AE" w:rsidR="007F2F73" w:rsidRPr="00957B06" w:rsidRDefault="007F2F73" w:rsidP="00001377">
            <w:pPr>
              <w:widowControl/>
              <w:autoSpaceDE/>
              <w:autoSpaceDN/>
              <w:spacing w:after="120"/>
              <w:rPr>
                <w:rFonts w:cs="Calibri"/>
              </w:rPr>
            </w:pPr>
          </w:p>
          <w:p w14:paraId="30890C2E" w14:textId="14A519CE" w:rsidR="007F2F73" w:rsidRPr="00957B06" w:rsidRDefault="007F2F73" w:rsidP="00001377">
            <w:pPr>
              <w:widowControl/>
              <w:autoSpaceDE/>
              <w:autoSpaceDN/>
              <w:spacing w:after="120"/>
              <w:rPr>
                <w:rFonts w:cs="Calibri"/>
              </w:rPr>
            </w:pPr>
          </w:p>
          <w:p w14:paraId="1CDBA631" w14:textId="2DF6AE79" w:rsidR="007F2F73" w:rsidRPr="00957B06" w:rsidRDefault="007F2F73" w:rsidP="00001377">
            <w:pPr>
              <w:widowControl/>
              <w:autoSpaceDE/>
              <w:autoSpaceDN/>
              <w:spacing w:after="120"/>
              <w:rPr>
                <w:rFonts w:cs="Calibri"/>
              </w:rPr>
            </w:pPr>
          </w:p>
          <w:p w14:paraId="6B901CBD" w14:textId="12AB7520" w:rsidR="007F2F73" w:rsidRPr="00957B06" w:rsidRDefault="007F2F73" w:rsidP="00001377">
            <w:pPr>
              <w:widowControl/>
              <w:autoSpaceDE/>
              <w:autoSpaceDN/>
              <w:spacing w:after="120"/>
              <w:rPr>
                <w:rFonts w:cs="Calibri"/>
              </w:rPr>
            </w:pPr>
          </w:p>
          <w:p w14:paraId="56B906D8" w14:textId="13486B7B" w:rsidR="007F2F73" w:rsidRPr="00957B06" w:rsidRDefault="007F2F73" w:rsidP="00001377">
            <w:pPr>
              <w:widowControl/>
              <w:autoSpaceDE/>
              <w:autoSpaceDN/>
              <w:spacing w:after="120"/>
              <w:rPr>
                <w:rFonts w:cs="Calibri"/>
              </w:rPr>
            </w:pPr>
          </w:p>
          <w:p w14:paraId="5C500D72" w14:textId="0620BE5C" w:rsidR="007F2F73" w:rsidRPr="00957B06" w:rsidRDefault="007F2F73" w:rsidP="00001377">
            <w:pPr>
              <w:widowControl/>
              <w:autoSpaceDE/>
              <w:autoSpaceDN/>
              <w:spacing w:after="120"/>
              <w:rPr>
                <w:rFonts w:cs="Calibri"/>
              </w:rPr>
            </w:pPr>
          </w:p>
          <w:p w14:paraId="31339123" w14:textId="2253AAA8" w:rsidR="007F2F73" w:rsidRPr="00957B06" w:rsidRDefault="007F2F73" w:rsidP="00001377">
            <w:pPr>
              <w:widowControl/>
              <w:autoSpaceDE/>
              <w:autoSpaceDN/>
              <w:spacing w:after="120"/>
              <w:rPr>
                <w:rFonts w:cs="Calibri"/>
              </w:rPr>
            </w:pPr>
          </w:p>
          <w:p w14:paraId="7EC6B8AF" w14:textId="28A8009F" w:rsidR="007F2F73" w:rsidRPr="00957B06" w:rsidRDefault="007F2F73" w:rsidP="00001377">
            <w:pPr>
              <w:widowControl/>
              <w:autoSpaceDE/>
              <w:autoSpaceDN/>
              <w:spacing w:after="120"/>
              <w:rPr>
                <w:rFonts w:cs="Calibri"/>
              </w:rPr>
            </w:pPr>
          </w:p>
          <w:p w14:paraId="502C8EBB" w14:textId="586C73E6" w:rsidR="007F2F73" w:rsidRPr="00957B06" w:rsidRDefault="007F2F73" w:rsidP="00001377">
            <w:pPr>
              <w:widowControl/>
              <w:autoSpaceDE/>
              <w:autoSpaceDN/>
              <w:spacing w:after="120"/>
              <w:rPr>
                <w:rFonts w:cs="Calibri"/>
              </w:rPr>
            </w:pPr>
          </w:p>
          <w:p w14:paraId="53A721D5" w14:textId="4DC9DC11" w:rsidR="007F2F73" w:rsidRPr="00957B06" w:rsidRDefault="007F2F73" w:rsidP="00001377">
            <w:pPr>
              <w:widowControl/>
              <w:autoSpaceDE/>
              <w:autoSpaceDN/>
              <w:spacing w:after="120"/>
              <w:rPr>
                <w:rFonts w:cs="Calibri"/>
              </w:rPr>
            </w:pPr>
          </w:p>
          <w:p w14:paraId="540C6366" w14:textId="7A4E171E" w:rsidR="007F2F73" w:rsidRPr="00957B06" w:rsidRDefault="007F2F73" w:rsidP="00001377">
            <w:pPr>
              <w:widowControl/>
              <w:autoSpaceDE/>
              <w:autoSpaceDN/>
              <w:spacing w:after="120"/>
              <w:rPr>
                <w:rFonts w:cs="Calibri"/>
              </w:rPr>
            </w:pPr>
          </w:p>
          <w:p w14:paraId="20D9DCA7" w14:textId="60F2A4CB" w:rsidR="007F2F73" w:rsidRPr="00957B06" w:rsidRDefault="007F2F73" w:rsidP="00001377">
            <w:pPr>
              <w:widowControl/>
              <w:autoSpaceDE/>
              <w:autoSpaceDN/>
              <w:spacing w:after="120"/>
              <w:rPr>
                <w:rFonts w:cs="Calibri"/>
              </w:rPr>
            </w:pPr>
          </w:p>
          <w:p w14:paraId="57A8ED71" w14:textId="06A9DEE6" w:rsidR="007F2F73" w:rsidRPr="00957B06" w:rsidRDefault="007F2F73" w:rsidP="00001377">
            <w:pPr>
              <w:widowControl/>
              <w:autoSpaceDE/>
              <w:autoSpaceDN/>
              <w:spacing w:after="120"/>
              <w:rPr>
                <w:rFonts w:cs="Calibri"/>
              </w:rPr>
            </w:pPr>
          </w:p>
          <w:p w14:paraId="3DD8BEAC" w14:textId="3F17B143" w:rsidR="007F2F73" w:rsidRPr="00957B06" w:rsidRDefault="007F2F73" w:rsidP="00001377">
            <w:pPr>
              <w:widowControl/>
              <w:autoSpaceDE/>
              <w:autoSpaceDN/>
              <w:spacing w:after="120"/>
              <w:rPr>
                <w:rFonts w:cs="Calibri"/>
              </w:rPr>
            </w:pPr>
          </w:p>
          <w:p w14:paraId="0AF83CF2" w14:textId="7046CF13" w:rsidR="007F2F73" w:rsidRPr="00957B06" w:rsidRDefault="007F2F73" w:rsidP="00001377">
            <w:pPr>
              <w:widowControl/>
              <w:autoSpaceDE/>
              <w:autoSpaceDN/>
              <w:spacing w:after="120"/>
              <w:rPr>
                <w:rFonts w:cs="Calibri"/>
              </w:rPr>
            </w:pPr>
          </w:p>
          <w:p w14:paraId="678310D3" w14:textId="2A29517C" w:rsidR="007F2F73" w:rsidRPr="00957B06" w:rsidRDefault="007F2F73" w:rsidP="00001377">
            <w:pPr>
              <w:widowControl/>
              <w:autoSpaceDE/>
              <w:autoSpaceDN/>
              <w:spacing w:after="120"/>
              <w:rPr>
                <w:rFonts w:cs="Calibri"/>
              </w:rPr>
            </w:pPr>
          </w:p>
          <w:p w14:paraId="0E27CBEE" w14:textId="27C720AF" w:rsidR="007F2F73" w:rsidRPr="00957B06" w:rsidRDefault="007F2F73" w:rsidP="00001377">
            <w:pPr>
              <w:widowControl/>
              <w:autoSpaceDE/>
              <w:autoSpaceDN/>
              <w:spacing w:after="120"/>
              <w:rPr>
                <w:rFonts w:cs="Calibri"/>
              </w:rPr>
            </w:pPr>
          </w:p>
          <w:p w14:paraId="1D3DAE65" w14:textId="625823D8" w:rsidR="007F2F73" w:rsidRPr="00957B06" w:rsidRDefault="007F2F73" w:rsidP="00001377">
            <w:pPr>
              <w:widowControl/>
              <w:autoSpaceDE/>
              <w:autoSpaceDN/>
              <w:spacing w:after="120"/>
              <w:rPr>
                <w:rFonts w:cs="Calibri"/>
              </w:rPr>
            </w:pPr>
          </w:p>
          <w:p w14:paraId="6A63F66C" w14:textId="17F18F16" w:rsidR="007F2F73" w:rsidRPr="00957B06" w:rsidRDefault="007F2F73" w:rsidP="00001377">
            <w:pPr>
              <w:widowControl/>
              <w:autoSpaceDE/>
              <w:autoSpaceDN/>
              <w:spacing w:after="120"/>
              <w:rPr>
                <w:rFonts w:cs="Calibri"/>
              </w:rPr>
            </w:pPr>
          </w:p>
          <w:p w14:paraId="290B1084" w14:textId="28856368" w:rsidR="007F2F73" w:rsidRPr="00957B06" w:rsidRDefault="007F2F73" w:rsidP="00001377">
            <w:pPr>
              <w:widowControl/>
              <w:autoSpaceDE/>
              <w:autoSpaceDN/>
              <w:spacing w:after="120"/>
              <w:rPr>
                <w:rFonts w:cs="Calibri"/>
              </w:rPr>
            </w:pPr>
          </w:p>
          <w:p w14:paraId="20436340" w14:textId="54435941" w:rsidR="007F2F73" w:rsidRPr="00957B06" w:rsidRDefault="007F2F73" w:rsidP="00001377">
            <w:pPr>
              <w:widowControl/>
              <w:autoSpaceDE/>
              <w:autoSpaceDN/>
              <w:spacing w:after="120"/>
              <w:rPr>
                <w:rFonts w:cs="Calibri"/>
              </w:rPr>
            </w:pPr>
          </w:p>
          <w:p w14:paraId="36C3E5A2" w14:textId="144D5B96" w:rsidR="007F2F73" w:rsidRPr="00957B06" w:rsidRDefault="007F2F73" w:rsidP="00001377">
            <w:pPr>
              <w:widowControl/>
              <w:autoSpaceDE/>
              <w:autoSpaceDN/>
              <w:spacing w:after="120"/>
              <w:rPr>
                <w:rFonts w:cs="Calibri"/>
              </w:rPr>
            </w:pPr>
          </w:p>
          <w:p w14:paraId="76BF33E6" w14:textId="2036F76B" w:rsidR="007F2F73" w:rsidRPr="00957B06" w:rsidRDefault="007F2F73" w:rsidP="00001377">
            <w:pPr>
              <w:widowControl/>
              <w:autoSpaceDE/>
              <w:autoSpaceDN/>
              <w:spacing w:after="120"/>
              <w:rPr>
                <w:rFonts w:cs="Calibri"/>
              </w:rPr>
            </w:pPr>
          </w:p>
          <w:p w14:paraId="77BE76E5" w14:textId="60E423C7" w:rsidR="007F2F73" w:rsidRPr="00957B06" w:rsidRDefault="007F2F73" w:rsidP="00001377">
            <w:pPr>
              <w:widowControl/>
              <w:autoSpaceDE/>
              <w:autoSpaceDN/>
              <w:spacing w:after="120"/>
              <w:rPr>
                <w:rFonts w:cs="Calibri"/>
              </w:rPr>
            </w:pPr>
          </w:p>
          <w:p w14:paraId="2B3D7B69" w14:textId="70B4371F" w:rsidR="007F2F73" w:rsidRPr="00957B06" w:rsidRDefault="007F2F73" w:rsidP="00001377">
            <w:pPr>
              <w:widowControl/>
              <w:autoSpaceDE/>
              <w:autoSpaceDN/>
              <w:spacing w:after="120"/>
              <w:rPr>
                <w:rFonts w:cs="Calibri"/>
              </w:rPr>
            </w:pPr>
          </w:p>
          <w:p w14:paraId="4CB38125" w14:textId="1D6E3D0A" w:rsidR="007F2F73" w:rsidRPr="00957B06" w:rsidRDefault="007F2F73" w:rsidP="00001377">
            <w:pPr>
              <w:widowControl/>
              <w:autoSpaceDE/>
              <w:autoSpaceDN/>
              <w:spacing w:after="120"/>
              <w:rPr>
                <w:rFonts w:cs="Calibri"/>
              </w:rPr>
            </w:pPr>
          </w:p>
          <w:p w14:paraId="29285EE2" w14:textId="0CCCCB10" w:rsidR="007F2F73" w:rsidRPr="00957B06" w:rsidRDefault="007F2F73" w:rsidP="00001377">
            <w:pPr>
              <w:widowControl/>
              <w:autoSpaceDE/>
              <w:autoSpaceDN/>
              <w:spacing w:after="120"/>
              <w:rPr>
                <w:rFonts w:cs="Calibri"/>
              </w:rPr>
            </w:pPr>
          </w:p>
          <w:p w14:paraId="2796D8D1" w14:textId="61087FA6" w:rsidR="007F2F73" w:rsidRPr="00957B06" w:rsidRDefault="007F2F73" w:rsidP="00001377">
            <w:pPr>
              <w:widowControl/>
              <w:autoSpaceDE/>
              <w:autoSpaceDN/>
              <w:spacing w:after="120"/>
              <w:rPr>
                <w:rFonts w:cs="Calibri"/>
              </w:rPr>
            </w:pPr>
          </w:p>
          <w:p w14:paraId="1E15E636" w14:textId="492D7677" w:rsidR="007F2F73" w:rsidRPr="00957B06" w:rsidRDefault="007F2F73" w:rsidP="00001377">
            <w:pPr>
              <w:widowControl/>
              <w:autoSpaceDE/>
              <w:autoSpaceDN/>
              <w:spacing w:after="120"/>
              <w:rPr>
                <w:rFonts w:cs="Calibri"/>
              </w:rPr>
            </w:pPr>
          </w:p>
          <w:p w14:paraId="70268CB1" w14:textId="11F05DDC" w:rsidR="007F2F73" w:rsidRPr="00957B06" w:rsidRDefault="007F2F73" w:rsidP="00001377">
            <w:pPr>
              <w:widowControl/>
              <w:autoSpaceDE/>
              <w:autoSpaceDN/>
              <w:spacing w:after="120"/>
              <w:rPr>
                <w:rFonts w:cs="Calibri"/>
              </w:rPr>
            </w:pPr>
          </w:p>
          <w:p w14:paraId="3287D1F7" w14:textId="61EAF68E" w:rsidR="00DD2568" w:rsidRPr="00957B06" w:rsidRDefault="00DD2568" w:rsidP="00001377">
            <w:pPr>
              <w:widowControl/>
              <w:autoSpaceDE/>
              <w:autoSpaceDN/>
              <w:spacing w:after="120"/>
              <w:rPr>
                <w:rFonts w:cs="Calibri"/>
              </w:rPr>
            </w:pPr>
          </w:p>
          <w:p w14:paraId="0E018F17" w14:textId="6CDB0F3D" w:rsidR="009D793F" w:rsidRPr="00957B06" w:rsidRDefault="009D793F" w:rsidP="00001377">
            <w:pPr>
              <w:widowControl/>
              <w:autoSpaceDE/>
              <w:autoSpaceDN/>
              <w:spacing w:after="120"/>
              <w:rPr>
                <w:rFonts w:cs="Calibri"/>
              </w:rPr>
            </w:pPr>
          </w:p>
          <w:p w14:paraId="2AE4859B" w14:textId="1BE65B42" w:rsidR="009D793F" w:rsidRPr="00957B06" w:rsidRDefault="009D793F" w:rsidP="00001377">
            <w:pPr>
              <w:widowControl/>
              <w:autoSpaceDE/>
              <w:autoSpaceDN/>
              <w:spacing w:after="120"/>
              <w:rPr>
                <w:rFonts w:cs="Calibri"/>
              </w:rPr>
            </w:pPr>
          </w:p>
          <w:p w14:paraId="6F47C58C" w14:textId="3F8B6698" w:rsidR="009D793F" w:rsidRPr="00957B06" w:rsidRDefault="009D793F" w:rsidP="00001377">
            <w:pPr>
              <w:widowControl/>
              <w:autoSpaceDE/>
              <w:autoSpaceDN/>
              <w:spacing w:after="120"/>
              <w:rPr>
                <w:rFonts w:cs="Calibri"/>
              </w:rPr>
            </w:pPr>
          </w:p>
          <w:p w14:paraId="61EBAC82" w14:textId="2945E885" w:rsidR="00AC6EF7" w:rsidRPr="00957B06" w:rsidRDefault="00AC6EF7" w:rsidP="00001377">
            <w:pPr>
              <w:widowControl/>
              <w:autoSpaceDE/>
              <w:autoSpaceDN/>
              <w:spacing w:after="120"/>
              <w:rPr>
                <w:rFonts w:cs="Calibri"/>
              </w:rPr>
            </w:pPr>
          </w:p>
          <w:p w14:paraId="79F6025E" w14:textId="6DC5B7FF" w:rsidR="00AC6EF7" w:rsidRPr="00957B06" w:rsidRDefault="00AC6EF7" w:rsidP="00001377">
            <w:pPr>
              <w:widowControl/>
              <w:autoSpaceDE/>
              <w:autoSpaceDN/>
              <w:spacing w:after="120"/>
              <w:rPr>
                <w:rFonts w:cs="Calibri"/>
              </w:rPr>
            </w:pPr>
          </w:p>
          <w:p w14:paraId="5530A88C" w14:textId="46BEE6E3" w:rsidR="00AC6EF7" w:rsidRPr="00957B06" w:rsidRDefault="00AC6EF7" w:rsidP="00001377">
            <w:pPr>
              <w:widowControl/>
              <w:autoSpaceDE/>
              <w:autoSpaceDN/>
              <w:spacing w:after="120"/>
              <w:rPr>
                <w:rFonts w:cs="Calibri"/>
              </w:rPr>
            </w:pPr>
          </w:p>
          <w:p w14:paraId="24AC7F1D" w14:textId="08953D8D" w:rsidR="00AC6EF7" w:rsidRPr="00957B06" w:rsidRDefault="00AC6EF7" w:rsidP="00001377">
            <w:pPr>
              <w:widowControl/>
              <w:autoSpaceDE/>
              <w:autoSpaceDN/>
              <w:spacing w:after="120"/>
              <w:rPr>
                <w:rFonts w:cs="Calibri"/>
              </w:rPr>
            </w:pPr>
          </w:p>
          <w:p w14:paraId="6066FEAC" w14:textId="6A44EC04" w:rsidR="00AC6EF7" w:rsidRPr="00957B06" w:rsidRDefault="00AC6EF7" w:rsidP="00001377">
            <w:pPr>
              <w:widowControl/>
              <w:autoSpaceDE/>
              <w:autoSpaceDN/>
              <w:spacing w:after="120"/>
              <w:rPr>
                <w:rFonts w:cs="Calibri"/>
              </w:rPr>
            </w:pPr>
          </w:p>
          <w:p w14:paraId="711F45FE" w14:textId="57CD1ABB" w:rsidR="00AC6EF7" w:rsidRPr="00957B06" w:rsidRDefault="00AC6EF7" w:rsidP="00001377">
            <w:pPr>
              <w:widowControl/>
              <w:autoSpaceDE/>
              <w:autoSpaceDN/>
              <w:spacing w:after="120"/>
              <w:rPr>
                <w:rFonts w:cs="Calibri"/>
              </w:rPr>
            </w:pPr>
          </w:p>
          <w:p w14:paraId="728762B4" w14:textId="4EE28D60" w:rsidR="00AC6EF7" w:rsidRPr="00957B06" w:rsidRDefault="00AC6EF7" w:rsidP="00001377">
            <w:pPr>
              <w:widowControl/>
              <w:autoSpaceDE/>
              <w:autoSpaceDN/>
              <w:spacing w:after="120"/>
              <w:rPr>
                <w:rFonts w:cs="Calibri"/>
              </w:rPr>
            </w:pPr>
          </w:p>
          <w:p w14:paraId="64566A9F" w14:textId="6245524A" w:rsidR="00AC6EF7" w:rsidRPr="00957B06" w:rsidRDefault="00AC6EF7" w:rsidP="00001377">
            <w:pPr>
              <w:widowControl/>
              <w:autoSpaceDE/>
              <w:autoSpaceDN/>
              <w:spacing w:after="120"/>
              <w:rPr>
                <w:rFonts w:cs="Calibri"/>
              </w:rPr>
            </w:pPr>
          </w:p>
          <w:p w14:paraId="1872DCBE" w14:textId="098B222B" w:rsidR="00AC6EF7" w:rsidRPr="00957B06" w:rsidRDefault="00AC6EF7" w:rsidP="00001377">
            <w:pPr>
              <w:widowControl/>
              <w:autoSpaceDE/>
              <w:autoSpaceDN/>
              <w:spacing w:after="120"/>
              <w:rPr>
                <w:rFonts w:cs="Calibri"/>
              </w:rPr>
            </w:pPr>
          </w:p>
          <w:p w14:paraId="39AA877D" w14:textId="5E1CA545" w:rsidR="00AC6EF7" w:rsidRPr="00957B06" w:rsidRDefault="00AC6EF7" w:rsidP="00001377">
            <w:pPr>
              <w:widowControl/>
              <w:autoSpaceDE/>
              <w:autoSpaceDN/>
              <w:spacing w:after="120"/>
              <w:rPr>
                <w:rFonts w:cs="Calibri"/>
              </w:rPr>
            </w:pPr>
          </w:p>
          <w:p w14:paraId="0BFD2043" w14:textId="08CB55CD" w:rsidR="00AC6EF7" w:rsidRPr="00957B06" w:rsidRDefault="00AC6EF7" w:rsidP="00001377">
            <w:pPr>
              <w:widowControl/>
              <w:autoSpaceDE/>
              <w:autoSpaceDN/>
              <w:spacing w:after="120"/>
              <w:rPr>
                <w:rFonts w:cs="Calibri"/>
              </w:rPr>
            </w:pPr>
          </w:p>
          <w:p w14:paraId="7BA75A6F" w14:textId="5E4540AB" w:rsidR="00AC6EF7" w:rsidRPr="00957B06" w:rsidRDefault="00AC6EF7" w:rsidP="00001377">
            <w:pPr>
              <w:widowControl/>
              <w:autoSpaceDE/>
              <w:autoSpaceDN/>
              <w:spacing w:after="120"/>
              <w:rPr>
                <w:rFonts w:cs="Calibri"/>
              </w:rPr>
            </w:pPr>
          </w:p>
          <w:p w14:paraId="21CED323" w14:textId="1686B897" w:rsidR="00AC6EF7" w:rsidRPr="00957B06" w:rsidRDefault="00AC6EF7" w:rsidP="00001377">
            <w:pPr>
              <w:widowControl/>
              <w:autoSpaceDE/>
              <w:autoSpaceDN/>
              <w:spacing w:after="120"/>
              <w:rPr>
                <w:rFonts w:cs="Calibri"/>
              </w:rPr>
            </w:pPr>
          </w:p>
          <w:p w14:paraId="49642849" w14:textId="226A5189" w:rsidR="00AC6EF7" w:rsidRPr="00957B06" w:rsidRDefault="00AC6EF7" w:rsidP="00001377">
            <w:pPr>
              <w:widowControl/>
              <w:autoSpaceDE/>
              <w:autoSpaceDN/>
              <w:spacing w:after="120"/>
              <w:rPr>
                <w:rFonts w:cs="Calibri"/>
              </w:rPr>
            </w:pPr>
          </w:p>
          <w:p w14:paraId="63C6C684" w14:textId="5BBA964F" w:rsidR="00AC6EF7" w:rsidRPr="00957B06" w:rsidRDefault="00AC6EF7" w:rsidP="00001377">
            <w:pPr>
              <w:widowControl/>
              <w:autoSpaceDE/>
              <w:autoSpaceDN/>
              <w:spacing w:after="120"/>
              <w:rPr>
                <w:rFonts w:cs="Calibri"/>
              </w:rPr>
            </w:pPr>
          </w:p>
          <w:p w14:paraId="2025452B" w14:textId="50DB4EBF" w:rsidR="00AC6EF7" w:rsidRPr="00957B06" w:rsidRDefault="00AC6EF7" w:rsidP="00001377">
            <w:pPr>
              <w:widowControl/>
              <w:autoSpaceDE/>
              <w:autoSpaceDN/>
              <w:spacing w:after="120"/>
              <w:rPr>
                <w:rFonts w:cs="Calibri"/>
              </w:rPr>
            </w:pPr>
          </w:p>
          <w:p w14:paraId="0868E436" w14:textId="6329DF83" w:rsidR="00AC6EF7" w:rsidRPr="00957B06" w:rsidRDefault="00AC6EF7" w:rsidP="00001377">
            <w:pPr>
              <w:widowControl/>
              <w:autoSpaceDE/>
              <w:autoSpaceDN/>
              <w:spacing w:after="120"/>
              <w:rPr>
                <w:rFonts w:cs="Calibri"/>
              </w:rPr>
            </w:pPr>
          </w:p>
          <w:p w14:paraId="58707EE1" w14:textId="6EC052DB" w:rsidR="0054124A" w:rsidRPr="00957B06" w:rsidRDefault="0054124A" w:rsidP="00001377">
            <w:pPr>
              <w:widowControl/>
              <w:autoSpaceDE/>
              <w:autoSpaceDN/>
              <w:spacing w:after="120"/>
              <w:rPr>
                <w:rFonts w:cs="Calibri"/>
              </w:rPr>
            </w:pPr>
          </w:p>
          <w:p w14:paraId="63378295" w14:textId="6399850A" w:rsidR="0054124A" w:rsidRPr="00957B06" w:rsidRDefault="0054124A" w:rsidP="00001377">
            <w:pPr>
              <w:widowControl/>
              <w:autoSpaceDE/>
              <w:autoSpaceDN/>
              <w:spacing w:after="120"/>
              <w:rPr>
                <w:rFonts w:cs="Calibri"/>
              </w:rPr>
            </w:pPr>
          </w:p>
          <w:p w14:paraId="1391B497" w14:textId="57C9C42B" w:rsidR="0054124A" w:rsidRPr="00957B06" w:rsidRDefault="0054124A" w:rsidP="00001377">
            <w:pPr>
              <w:widowControl/>
              <w:autoSpaceDE/>
              <w:autoSpaceDN/>
              <w:spacing w:after="120"/>
              <w:rPr>
                <w:rFonts w:cs="Calibri"/>
              </w:rPr>
            </w:pPr>
          </w:p>
          <w:p w14:paraId="7277921D" w14:textId="702D6356" w:rsidR="0054124A" w:rsidRPr="00957B06" w:rsidRDefault="0054124A" w:rsidP="00001377">
            <w:pPr>
              <w:widowControl/>
              <w:autoSpaceDE/>
              <w:autoSpaceDN/>
              <w:spacing w:after="120"/>
              <w:rPr>
                <w:rFonts w:cs="Calibri"/>
              </w:rPr>
            </w:pPr>
          </w:p>
          <w:p w14:paraId="1848BD60" w14:textId="3995CB57" w:rsidR="0054124A" w:rsidRPr="00957B06" w:rsidRDefault="0054124A" w:rsidP="00001377">
            <w:pPr>
              <w:widowControl/>
              <w:autoSpaceDE/>
              <w:autoSpaceDN/>
              <w:spacing w:after="120"/>
              <w:rPr>
                <w:rFonts w:cs="Calibri"/>
              </w:rPr>
            </w:pPr>
          </w:p>
          <w:p w14:paraId="42A69CAD" w14:textId="0CD56B0C" w:rsidR="0054124A" w:rsidRPr="00957B06" w:rsidRDefault="0054124A" w:rsidP="00001377">
            <w:pPr>
              <w:widowControl/>
              <w:autoSpaceDE/>
              <w:autoSpaceDN/>
              <w:spacing w:after="120"/>
              <w:rPr>
                <w:rFonts w:cs="Calibri"/>
              </w:rPr>
            </w:pPr>
          </w:p>
          <w:p w14:paraId="727868CC" w14:textId="77777777" w:rsidR="0054124A" w:rsidRPr="00957B06" w:rsidRDefault="0054124A" w:rsidP="00001377">
            <w:pPr>
              <w:widowControl/>
              <w:autoSpaceDE/>
              <w:autoSpaceDN/>
              <w:spacing w:after="120"/>
              <w:rPr>
                <w:rFonts w:cs="Calibri"/>
              </w:rPr>
            </w:pPr>
          </w:p>
          <w:p w14:paraId="2C66E4CD" w14:textId="02645083" w:rsidR="00AC6EF7" w:rsidRPr="00957B06" w:rsidRDefault="00AC6EF7" w:rsidP="00001377">
            <w:pPr>
              <w:widowControl/>
              <w:autoSpaceDE/>
              <w:autoSpaceDN/>
              <w:spacing w:after="120"/>
              <w:rPr>
                <w:rFonts w:cs="Calibri"/>
              </w:rPr>
            </w:pPr>
          </w:p>
          <w:p w14:paraId="1C045BBB" w14:textId="6E3FC75C" w:rsidR="00AC6EF7" w:rsidRPr="00957B06" w:rsidRDefault="00AC6EF7" w:rsidP="00001377">
            <w:pPr>
              <w:widowControl/>
              <w:autoSpaceDE/>
              <w:autoSpaceDN/>
              <w:spacing w:after="120"/>
              <w:rPr>
                <w:rFonts w:cs="Calibri"/>
              </w:rPr>
            </w:pPr>
          </w:p>
          <w:p w14:paraId="305BF186" w14:textId="14176C8F" w:rsidR="00AC6EF7" w:rsidRPr="00957B06" w:rsidRDefault="00AC6EF7" w:rsidP="00001377">
            <w:pPr>
              <w:widowControl/>
              <w:autoSpaceDE/>
              <w:autoSpaceDN/>
              <w:spacing w:after="120"/>
              <w:rPr>
                <w:rFonts w:cs="Calibri"/>
              </w:rPr>
            </w:pPr>
          </w:p>
          <w:p w14:paraId="5878B17B" w14:textId="77777777" w:rsidR="007E60AA" w:rsidRPr="00957B06" w:rsidRDefault="007E60AA" w:rsidP="0005031D">
            <w:pPr>
              <w:widowControl/>
              <w:autoSpaceDE/>
              <w:autoSpaceDN/>
              <w:spacing w:after="120"/>
              <w:rPr>
                <w:rFonts w:cs="Calibri"/>
                <w:b/>
              </w:rPr>
            </w:pPr>
          </w:p>
          <w:p w14:paraId="23128368" w14:textId="77777777" w:rsidR="007E60AA" w:rsidRPr="00957B06" w:rsidRDefault="007E60AA" w:rsidP="008B6A0F">
            <w:pPr>
              <w:widowControl/>
              <w:autoSpaceDE/>
              <w:autoSpaceDN/>
              <w:spacing w:after="120"/>
              <w:rPr>
                <w:rFonts w:cs="Calibri"/>
                <w:b/>
              </w:rPr>
            </w:pPr>
          </w:p>
          <w:p w14:paraId="369CBAE3" w14:textId="73BFE073" w:rsidR="00E452CE" w:rsidRPr="00957B06" w:rsidRDefault="00DA769A" w:rsidP="00AC6EF7">
            <w:pPr>
              <w:widowControl/>
              <w:autoSpaceDE/>
              <w:autoSpaceDN/>
              <w:spacing w:after="120"/>
              <w:ind w:left="426"/>
              <w:rPr>
                <w:rFonts w:cs="Calibri"/>
                <w:b/>
              </w:rPr>
            </w:pPr>
            <w:r w:rsidRPr="00957B06">
              <w:rPr>
                <w:rFonts w:cs="Calibri"/>
                <w:b/>
              </w:rPr>
              <w:t xml:space="preserve">2. </w:t>
            </w:r>
            <w:r w:rsidR="00E452CE" w:rsidRPr="00957B06">
              <w:rPr>
                <w:rFonts w:cs="Calibri"/>
                <w:b/>
              </w:rPr>
              <w:t>Efekty ekonomiczne</w:t>
            </w:r>
          </w:p>
          <w:p w14:paraId="17591E3A" w14:textId="0693377A" w:rsidR="00D72B2A" w:rsidRPr="00957B06" w:rsidRDefault="00D72B2A" w:rsidP="00E452CE">
            <w:pPr>
              <w:spacing w:after="120"/>
              <w:rPr>
                <w:rFonts w:cs="Calibri"/>
              </w:rPr>
            </w:pPr>
            <w:r w:rsidRPr="00957B06">
              <w:rPr>
                <w:rFonts w:cs="Calibri"/>
              </w:rPr>
              <w:t xml:space="preserve">Wraz z wprowadzeniem wymagań w zakresie obowiązku zapewnienia dostępności w OSR zakładano, że pojawi się znaczące zapotrzebowanie na rynku usług i produktów pełniących takie funkcje, co może być impulsem do rozwoju firm i organizacji specjalizujących się w usługach na rzecz dostępności (np. </w:t>
            </w:r>
            <w:proofErr w:type="spellStart"/>
            <w:r w:rsidRPr="00957B06">
              <w:rPr>
                <w:rFonts w:cs="Calibri"/>
              </w:rPr>
              <w:t>audiodeskrypcja</w:t>
            </w:r>
            <w:proofErr w:type="spellEnd"/>
            <w:r w:rsidRPr="00957B06">
              <w:rPr>
                <w:rFonts w:cs="Calibri"/>
              </w:rPr>
              <w:t xml:space="preserve">, tłumaczenia migowe, usługa asystencka, urządzenia </w:t>
            </w:r>
            <w:proofErr w:type="spellStart"/>
            <w:r w:rsidRPr="00957B06">
              <w:rPr>
                <w:rFonts w:cs="Calibri"/>
              </w:rPr>
              <w:t>tyflograficzne</w:t>
            </w:r>
            <w:proofErr w:type="spellEnd"/>
            <w:r w:rsidRPr="00957B06">
              <w:rPr>
                <w:rFonts w:cs="Calibri"/>
              </w:rPr>
              <w:t>, podnośniki i platformy, usługi remontowo-budowlane, usługi architektów, audyty dostępności itp.).</w:t>
            </w:r>
          </w:p>
          <w:p w14:paraId="35BA77DF" w14:textId="7264929A" w:rsidR="00E452CE" w:rsidRPr="00957B06" w:rsidRDefault="00E452CE" w:rsidP="00E452CE">
            <w:pPr>
              <w:spacing w:after="120"/>
              <w:rPr>
                <w:rFonts w:cs="Calibri"/>
              </w:rPr>
            </w:pPr>
            <w:r w:rsidRPr="00957B06">
              <w:rPr>
                <w:rFonts w:cs="Calibri"/>
              </w:rPr>
              <w:t>Większości przewidywanych korzyści społecznych towarzyszyć powinny korzyści w wymiarze ekonomicznym</w:t>
            </w:r>
            <w:r w:rsidR="00D72B2A" w:rsidRPr="00957B06">
              <w:rPr>
                <w:rFonts w:cs="Calibri"/>
              </w:rPr>
              <w:t xml:space="preserve"> – choć w perspektywie długofalowej dopiero</w:t>
            </w:r>
            <w:r w:rsidRPr="00957B06">
              <w:rPr>
                <w:rFonts w:cs="Calibri"/>
              </w:rPr>
              <w:t xml:space="preserve">. Ich precyzyjne oszacowanie </w:t>
            </w:r>
            <w:r w:rsidR="00F43F86" w:rsidRPr="00957B06">
              <w:rPr>
                <w:rFonts w:cs="Calibri"/>
              </w:rPr>
              <w:t xml:space="preserve">było </w:t>
            </w:r>
            <w:r w:rsidRPr="00957B06">
              <w:rPr>
                <w:rFonts w:cs="Calibri"/>
              </w:rPr>
              <w:t xml:space="preserve">jednak trudne ze względu na złożoność regulowanej materii. </w:t>
            </w:r>
            <w:r w:rsidR="00F43F86" w:rsidRPr="00957B06">
              <w:rPr>
                <w:rFonts w:cs="Calibri"/>
              </w:rPr>
              <w:t>Spodziewano się, że r</w:t>
            </w:r>
            <w:r w:rsidRPr="00957B06">
              <w:rPr>
                <w:rFonts w:cs="Calibri"/>
              </w:rPr>
              <w:t xml:space="preserve">ealizacja </w:t>
            </w:r>
            <w:r w:rsidR="00F43F86" w:rsidRPr="00957B06">
              <w:rPr>
                <w:rFonts w:cs="Calibri"/>
              </w:rPr>
              <w:t xml:space="preserve">obowiązków </w:t>
            </w:r>
            <w:r w:rsidRPr="00957B06">
              <w:rPr>
                <w:rFonts w:cs="Calibri"/>
              </w:rPr>
              <w:t xml:space="preserve">w długim horyzoncie czasowym spowoduje eliminację barier w </w:t>
            </w:r>
            <w:r w:rsidRPr="00957B06">
              <w:rPr>
                <w:rFonts w:cs="Calibri"/>
              </w:rPr>
              <w:lastRenderedPageBreak/>
              <w:t>szeroko rozumianej przestrzeni publicznej dla osób ze szczególnymi potrzebami w zakresie dostępności architektonicznej budynków, w zakresie cyfrowym oraz informacyjno-komunikacyjnym, co spowoduje zwiększenie mobilności i aktywności społecznej. Zakłada</w:t>
            </w:r>
            <w:r w:rsidR="00D72B2A" w:rsidRPr="00957B06">
              <w:rPr>
                <w:rFonts w:cs="Calibri"/>
              </w:rPr>
              <w:t>no,</w:t>
            </w:r>
            <w:r w:rsidRPr="00957B06">
              <w:rPr>
                <w:rFonts w:cs="Calibri"/>
              </w:rPr>
              <w:t xml:space="preserve"> że może to skutkować zwiększoną podażą pracy wśród w szczególności grupy osób z niepełnosprawnościami, która powinna spotkać się z istniejącym obecnie dużym popytem na pracę. W połączeniu z instrumentami wsparcia zatrudnienia z innych ustaw może to skutkować wzrostem zatrudnienia. Już dziś przedsiębiorcy zwracają większą uwagę na te kompetencje i cechy osób starszych czy z niepełnosprawnościami, które czynią z nich poszukiwanych na rynku pracowników (zaangażowanie, odpowiedzialność, lojalność, doświadczenie). Brakującym elementem jest dostępność podmiotów publicznych, która umożliwi lub ułatwi tym osobom samodzielne załatwianie spraw administracyjnych, a także pracę w podmiotach publicznych. </w:t>
            </w:r>
          </w:p>
          <w:p w14:paraId="0E8847E3" w14:textId="77777777" w:rsidR="00E452CE" w:rsidRPr="00957B06" w:rsidRDefault="00E452CE" w:rsidP="00E452CE">
            <w:pPr>
              <w:spacing w:after="120"/>
              <w:rPr>
                <w:rFonts w:cs="Calibri"/>
              </w:rPr>
            </w:pPr>
            <w:r w:rsidRPr="00957B06">
              <w:rPr>
                <w:rFonts w:cs="Calibri"/>
              </w:rPr>
              <w:t xml:space="preserve">Warto zauważyć, ze ustawa tworzy </w:t>
            </w:r>
            <w:r w:rsidRPr="00957B06">
              <w:rPr>
                <w:rFonts w:cs="Calibri"/>
                <w:b/>
                <w:bCs/>
              </w:rPr>
              <w:t>Fundusz Dostępności</w:t>
            </w:r>
            <w:r w:rsidRPr="00957B06">
              <w:rPr>
                <w:rFonts w:cs="Calibri"/>
              </w:rPr>
              <w:t xml:space="preserve">, jako źródło finansowania inwestycji służących poprawie warunków architektonicznych i komunikacyjnych zarówno w przestrzeni publicznej (budynki użyteczności publicznej ) jak i prywatnej (budynki wielorodzinne i zakwaterowania zbiorowego). Fundusz ten jako rozwiązanie systemowe może być zasilany z różnych źródeł, w tym ze środków wykorzystywanych wcześniej w ramach polityki spójności. Jego środki posłużą do rozwiązywania problemów z mobilnością osób o szczególnych potrzebach, co poprawi znacznie ich zdolność do aktywizacji społecznej i zawodowej, a w konsekwencji pozytywnie wpłynie na gospodarkę. Dodatkowo pojawi się związany z uruchomieniem tego funduszu impuls rozwojowy dla  architektury, usług projektowych i budowlanych, w wyniku zwiększonego zapotrzebowania i możliwości finansowania rozwiązań sprzyjających poprawie dostępności (np. windy, podjazdy, przebudowy).  </w:t>
            </w:r>
          </w:p>
          <w:p w14:paraId="62DA0797" w14:textId="77777777" w:rsidR="00793651" w:rsidRPr="00957B06" w:rsidRDefault="00E452CE" w:rsidP="00E452CE">
            <w:pPr>
              <w:spacing w:after="120"/>
              <w:rPr>
                <w:rFonts w:cs="Calibri"/>
              </w:rPr>
            </w:pPr>
            <w:r w:rsidRPr="00957B06">
              <w:rPr>
                <w:rFonts w:cs="Calibri"/>
                <w:b/>
                <w:bCs/>
              </w:rPr>
              <w:t>Dostępność może stanowić przewagę konkurencyjną</w:t>
            </w:r>
            <w:r w:rsidRPr="00957B06">
              <w:rPr>
                <w:rFonts w:cs="Calibri"/>
              </w:rPr>
              <w:t xml:space="preserve">, która jest już dostrzegana przez niektóre firmy, świadome ogromnego potencjału rynku dla osób starszych i ze szczególnymi potrzebami, wynikającego z jego wielkości oraz zachowania samych konsumentów. Osoby te w ramach swoich środowisk szybko wymieniają się informacjami o przyjaznych firmach, oferujących rozwiązania „szyte na miarę” w zakresie dostępności i w ich stronę kierują swoje zainteresowania konsumenckie. Otwarcie się firm na nowych konsumentów może wpłynąć także na rozwój myślenia innowacyjnego i wprowadzanie nowych rozwiązań technologicznych, związanych z technologiami asystującymi dla osób z niepełnosprawnościami. Z kolei dzięki postępowi technologicznemu zwiększy się dostęp do różnych rozwiązań dla osób ze szczególnymi potrzebami, co z kolei może pozytywnie wpłynąć na obniżenie cen tych produktów i usług. Także zaprojektowany w ustawie instrument w postaci certyfikacji dostępności może sprawi, że podmioty, które uzyskają certyfikat dadzą wyraźny sygnał dla klientów i użytkowników ze szczególnymi potrzebami, że społeczna </w:t>
            </w:r>
            <w:r w:rsidRPr="00957B06">
              <w:rPr>
                <w:rFonts w:cs="Calibri"/>
              </w:rPr>
              <w:lastRenderedPageBreak/>
              <w:t xml:space="preserve">odpowiedzialność i zasady zrównoważonego rozwoju stanowią istotny element ich funkcjonowania i budowania prestiżu i wizerunku podmiotu, co za tym idzie zwiększy ich konkurencyjność na rynku usług czy produktów. </w:t>
            </w:r>
          </w:p>
          <w:p w14:paraId="1D3A99CC" w14:textId="5DD90E18" w:rsidR="00E452CE" w:rsidRPr="00957B06" w:rsidRDefault="00E452CE" w:rsidP="00E452CE">
            <w:pPr>
              <w:spacing w:after="120"/>
              <w:rPr>
                <w:rFonts w:cs="Calibri"/>
              </w:rPr>
            </w:pPr>
            <w:r w:rsidRPr="00957B06">
              <w:rPr>
                <w:rFonts w:cs="Calibri"/>
              </w:rPr>
              <w:t>Jako główne korzyści ekonomiczne projektowanej ustawy można wskazać:</w:t>
            </w:r>
          </w:p>
          <w:p w14:paraId="6C2AE1C7" w14:textId="77777777" w:rsidR="00E452CE" w:rsidRPr="00957B06" w:rsidRDefault="00E452CE" w:rsidP="003C3F42">
            <w:pPr>
              <w:widowControl/>
              <w:numPr>
                <w:ilvl w:val="0"/>
                <w:numId w:val="7"/>
              </w:numPr>
              <w:autoSpaceDE/>
              <w:autoSpaceDN/>
              <w:spacing w:after="120"/>
              <w:rPr>
                <w:rFonts w:cs="Calibri"/>
              </w:rPr>
            </w:pPr>
            <w:r w:rsidRPr="00957B06">
              <w:rPr>
                <w:rFonts w:cs="Calibri"/>
              </w:rPr>
              <w:t>poprawę warunków dla lokowania inwestycji, także w małych miastach czy na terenach wiejskich, gdzie poziom dostępności jest najniższy, a ich mieszkańcy są w szczególnie trudnej sytuacji;</w:t>
            </w:r>
          </w:p>
          <w:p w14:paraId="452CA04D" w14:textId="672840A7" w:rsidR="00E452CE" w:rsidRPr="00957B06" w:rsidRDefault="00E452CE" w:rsidP="003C3F42">
            <w:pPr>
              <w:widowControl/>
              <w:numPr>
                <w:ilvl w:val="0"/>
                <w:numId w:val="7"/>
              </w:numPr>
              <w:autoSpaceDE/>
              <w:autoSpaceDN/>
              <w:spacing w:after="120"/>
              <w:rPr>
                <w:rFonts w:cs="Calibri"/>
              </w:rPr>
            </w:pPr>
            <w:r w:rsidRPr="00957B06">
              <w:rPr>
                <w:rFonts w:cs="Calibri"/>
              </w:rPr>
              <w:t>wzrost atrakcyjności nieruchomości (o ok. 20%), poprzez zastosowanie racjonalnych usprawnień w postaci wind;</w:t>
            </w:r>
            <w:r w:rsidR="002B0288" w:rsidRPr="00957B06">
              <w:rPr>
                <w:rFonts w:cs="Calibri"/>
              </w:rPr>
              <w:t xml:space="preserve">  </w:t>
            </w:r>
            <w:r w:rsidRPr="00957B06">
              <w:rPr>
                <w:rFonts w:cs="Calibri"/>
              </w:rPr>
              <w:t>oszczędność środków z budżetu państwa, ze względu na wydłużenie okresu samodzielnego funkcjonowania w lokalnej społeczności, zamiast finansowania wysokich kosztów przebywania tych osób w formach opieki zinstytucjonalizowanej;</w:t>
            </w:r>
          </w:p>
          <w:p w14:paraId="5C0E83BC" w14:textId="648BA5FD" w:rsidR="00E452CE" w:rsidRPr="00957B06" w:rsidRDefault="00E452CE" w:rsidP="003C3F42">
            <w:pPr>
              <w:widowControl/>
              <w:numPr>
                <w:ilvl w:val="0"/>
                <w:numId w:val="7"/>
              </w:numPr>
              <w:autoSpaceDE/>
              <w:autoSpaceDN/>
              <w:spacing w:after="120"/>
              <w:rPr>
                <w:rFonts w:cs="Calibri"/>
              </w:rPr>
            </w:pPr>
            <w:r w:rsidRPr="00957B06">
              <w:rPr>
                <w:rFonts w:cs="Calibri"/>
              </w:rPr>
              <w:t>podniesienie konkurencyjności gospodarki, wywoływane przez dostępność, która sprawia że producenci szybko adaptują swoje produkty i usługi do potrzeb klientów, co dynamizuje rynek urządzeń i usług; jest to szansa dla polskiego biznesu opartego na innowacjach (np. sektor bankowości);</w:t>
            </w:r>
          </w:p>
          <w:p w14:paraId="33E0B45D" w14:textId="7734ADF8" w:rsidR="00E452CE" w:rsidRPr="00957B06" w:rsidRDefault="00E452CE" w:rsidP="003C3F42">
            <w:pPr>
              <w:widowControl/>
              <w:numPr>
                <w:ilvl w:val="0"/>
                <w:numId w:val="7"/>
              </w:numPr>
              <w:autoSpaceDE/>
              <w:autoSpaceDN/>
              <w:spacing w:after="120"/>
              <w:ind w:left="714" w:hanging="357"/>
              <w:rPr>
                <w:rFonts w:cs="Calibri"/>
              </w:rPr>
            </w:pPr>
            <w:r w:rsidRPr="00957B06">
              <w:rPr>
                <w:rFonts w:cs="Calibri"/>
              </w:rPr>
              <w:t xml:space="preserve">otwarcie rynku pracy dla osób ze szczególnymi potrzebami, w tym w szczególności osób z niepełnosprawnościami, co jest szczególnie istotną formą rehabilitacji (usamodzielnienie się, poprawa jakości życia, zwiększenie dochodów, wyjście z izolacji, bycie wśród ludzi); </w:t>
            </w:r>
          </w:p>
          <w:p w14:paraId="56946F52" w14:textId="7C874153" w:rsidR="00AE030D" w:rsidRPr="00957B06" w:rsidRDefault="00E452CE" w:rsidP="007A7A17">
            <w:pPr>
              <w:pStyle w:val="Akapitzlist"/>
              <w:numPr>
                <w:ilvl w:val="0"/>
                <w:numId w:val="7"/>
              </w:numPr>
            </w:pPr>
            <w:r w:rsidRPr="00957B06">
              <w:t>rozwój badań i nauki poprzez ciągłe poszukiwanie nowych rozwiązań dla osób ze szczególnymi potrzebami i seniorów opartych na zasadzie uniwersalnego projektowania;</w:t>
            </w:r>
          </w:p>
          <w:p w14:paraId="3DD2D93B" w14:textId="496357B9" w:rsidR="009C15F8" w:rsidRPr="00957B06" w:rsidRDefault="00E452CE" w:rsidP="003C3F42">
            <w:pPr>
              <w:pStyle w:val="TableParagraph"/>
              <w:numPr>
                <w:ilvl w:val="0"/>
                <w:numId w:val="7"/>
              </w:numPr>
              <w:spacing w:before="233" w:line="250" w:lineRule="atLeast"/>
              <w:ind w:right="94"/>
              <w:jc w:val="both"/>
            </w:pPr>
            <w:r w:rsidRPr="00957B06">
              <w:rPr>
                <w:rFonts w:cs="Calibri"/>
              </w:rPr>
              <w:t xml:space="preserve">wzrost popytu na usługi dedykowane poprawie dostępności i istniejąca w związku z tym nisza na rynku usług, która może zostać zagospodarowana przez podmioty wyspecjalizowane w obsłudze instytucji i podmiotów zobowiązanych do zapewnienia dostępności (np. tłumaczenia na język migowy, usługi transkrypcji, </w:t>
            </w:r>
            <w:proofErr w:type="spellStart"/>
            <w:r w:rsidRPr="00957B06">
              <w:rPr>
                <w:rFonts w:cs="Calibri"/>
              </w:rPr>
              <w:t>audiodeskrypcji</w:t>
            </w:r>
            <w:proofErr w:type="spellEnd"/>
            <w:r w:rsidRPr="00957B06">
              <w:rPr>
                <w:rFonts w:cs="Calibri"/>
              </w:rPr>
              <w:t xml:space="preserve">, </w:t>
            </w:r>
            <w:proofErr w:type="spellStart"/>
            <w:r w:rsidRPr="00957B06">
              <w:rPr>
                <w:rFonts w:cs="Calibri"/>
              </w:rPr>
              <w:t>respeakingu</w:t>
            </w:r>
            <w:proofErr w:type="spellEnd"/>
            <w:r w:rsidRPr="00957B06">
              <w:rPr>
                <w:rFonts w:cs="Calibri"/>
              </w:rPr>
              <w:t>, udostępniania materiałów audiowizualnych itp.).</w:t>
            </w:r>
          </w:p>
        </w:tc>
        <w:tc>
          <w:tcPr>
            <w:tcW w:w="5941" w:type="dxa"/>
            <w:gridSpan w:val="2"/>
            <w:tcBorders>
              <w:bottom w:val="single" w:sz="4" w:space="0" w:color="auto"/>
            </w:tcBorders>
            <w:shd w:val="clear" w:color="auto" w:fill="auto"/>
          </w:tcPr>
          <w:p w14:paraId="324BE28F" w14:textId="6784D813" w:rsidR="00B0435C" w:rsidRPr="00957B06" w:rsidRDefault="00E37B75" w:rsidP="00610AA3">
            <w:pPr>
              <w:pStyle w:val="TableParagraph"/>
              <w:ind w:left="0"/>
              <w:rPr>
                <w:rFonts w:cs="Calibri"/>
                <w:color w:val="000000"/>
                <w:spacing w:val="-2"/>
              </w:rPr>
            </w:pPr>
            <w:r w:rsidRPr="00957B06">
              <w:rPr>
                <w:rFonts w:cs="Calibri"/>
                <w:color w:val="000000"/>
                <w:spacing w:val="-2"/>
              </w:rPr>
              <w:lastRenderedPageBreak/>
              <w:t>Na podstawie</w:t>
            </w:r>
            <w:r w:rsidR="00B0435C" w:rsidRPr="00957B06">
              <w:rPr>
                <w:rFonts w:cs="Calibri"/>
                <w:color w:val="000000"/>
                <w:spacing w:val="-2"/>
              </w:rPr>
              <w:t xml:space="preserve"> art. 11 ust. 7</w:t>
            </w:r>
            <w:r w:rsidRPr="00957B06">
              <w:rPr>
                <w:rFonts w:cs="Calibri"/>
                <w:color w:val="000000"/>
                <w:spacing w:val="-2"/>
              </w:rPr>
              <w:t xml:space="preserve"> </w:t>
            </w:r>
            <w:r w:rsidR="005C7B6D" w:rsidRPr="00957B06">
              <w:rPr>
                <w:rFonts w:cs="Calibri"/>
                <w:color w:val="000000"/>
                <w:spacing w:val="-2"/>
              </w:rPr>
              <w:t>UZD</w:t>
            </w:r>
            <w:r w:rsidRPr="00957B06">
              <w:rPr>
                <w:rFonts w:cs="Calibri"/>
                <w:color w:val="000000"/>
                <w:spacing w:val="-2"/>
              </w:rPr>
              <w:t xml:space="preserve"> dwukrotnie, od 2019 r. przygotowano raport o stanie zapewnienia dostępności podmiotów publicznych</w:t>
            </w:r>
            <w:r w:rsidR="005C49A4" w:rsidRPr="00957B06">
              <w:rPr>
                <w:rFonts w:cs="Calibri"/>
                <w:color w:val="000000"/>
                <w:spacing w:val="-2"/>
              </w:rPr>
              <w:t xml:space="preserve"> </w:t>
            </w:r>
            <w:r w:rsidRPr="00957B06">
              <w:rPr>
                <w:rFonts w:cs="Calibri"/>
                <w:color w:val="000000"/>
                <w:spacing w:val="-2"/>
              </w:rPr>
              <w:t xml:space="preserve">w Polsce. Pierwsze </w:t>
            </w:r>
            <w:r w:rsidR="00D821B4" w:rsidRPr="00957B06">
              <w:rPr>
                <w:rFonts w:cs="Calibri"/>
                <w:color w:val="000000"/>
                <w:spacing w:val="-2"/>
              </w:rPr>
              <w:t xml:space="preserve">raportowanie </w:t>
            </w:r>
            <w:r w:rsidRPr="00957B06">
              <w:rPr>
                <w:rFonts w:cs="Calibri"/>
                <w:color w:val="000000"/>
                <w:spacing w:val="-2"/>
              </w:rPr>
              <w:t>zostało przeprowadzone w 2</w:t>
            </w:r>
            <w:r w:rsidR="00B0435C" w:rsidRPr="00957B06">
              <w:rPr>
                <w:rFonts w:cs="Calibri"/>
                <w:color w:val="000000"/>
                <w:spacing w:val="-2"/>
              </w:rPr>
              <w:t>021 r.</w:t>
            </w:r>
            <w:r w:rsidR="00984919" w:rsidRPr="00957B06">
              <w:rPr>
                <w:rFonts w:cs="Calibri"/>
                <w:color w:val="000000"/>
                <w:spacing w:val="-2"/>
              </w:rPr>
              <w:t xml:space="preserve"> i objęło </w:t>
            </w:r>
            <w:r w:rsidR="00AB5139" w:rsidRPr="00957B06">
              <w:rPr>
                <w:rFonts w:cs="Calibri"/>
                <w:color w:val="000000"/>
                <w:spacing w:val="-2"/>
              </w:rPr>
              <w:t>ok. 65</w:t>
            </w:r>
            <w:r w:rsidR="00984919" w:rsidRPr="00957B06">
              <w:rPr>
                <w:rFonts w:cs="Calibri"/>
                <w:color w:val="000000"/>
                <w:spacing w:val="-2"/>
              </w:rPr>
              <w:t xml:space="preserve"> tys. podmiotów publicznych</w:t>
            </w:r>
            <w:r w:rsidR="00AB5139" w:rsidRPr="00957B06">
              <w:rPr>
                <w:rFonts w:cs="Calibri"/>
                <w:color w:val="000000"/>
                <w:spacing w:val="-2"/>
              </w:rPr>
              <w:t>, z czego 57,7 tys. złożyło raport</w:t>
            </w:r>
            <w:r w:rsidR="00984919" w:rsidRPr="00957B06">
              <w:rPr>
                <w:rFonts w:cs="Calibri"/>
                <w:color w:val="000000"/>
                <w:spacing w:val="-2"/>
              </w:rPr>
              <w:t xml:space="preserve">. </w:t>
            </w:r>
            <w:r w:rsidR="00B0435C" w:rsidRPr="00957B06">
              <w:rPr>
                <w:rFonts w:cs="Calibri"/>
                <w:color w:val="000000"/>
                <w:spacing w:val="-2"/>
              </w:rPr>
              <w:t>Pokazało, że rok po wejściu w życie ustawy o zapewnianiu dostępności, większość z podmiotów publicznych pozostawała niedostosowana dla osób ze szczególnymi potrzebami. Poziom dostępności ogółem dla całego kraju wyniósł wówczas ok. 41%, co znaczy</w:t>
            </w:r>
            <w:r w:rsidRPr="00957B06">
              <w:rPr>
                <w:rFonts w:cs="Calibri"/>
                <w:color w:val="000000"/>
                <w:spacing w:val="-2"/>
              </w:rPr>
              <w:t>,</w:t>
            </w:r>
            <w:r w:rsidR="00B0435C" w:rsidRPr="00957B06">
              <w:rPr>
                <w:rFonts w:cs="Calibri"/>
                <w:color w:val="000000"/>
                <w:spacing w:val="-2"/>
              </w:rPr>
              <w:t xml:space="preserve"> że ponad połowa podmiotów nie zapewniała minimalnych wymagań dostępności </w:t>
            </w:r>
            <w:r w:rsidR="00AB5139" w:rsidRPr="00957B06">
              <w:rPr>
                <w:rFonts w:cs="Calibri"/>
                <w:color w:val="000000"/>
                <w:spacing w:val="-2"/>
              </w:rPr>
              <w:t xml:space="preserve">wynikających </w:t>
            </w:r>
            <w:r w:rsidR="00B0435C" w:rsidRPr="00957B06">
              <w:rPr>
                <w:rFonts w:cs="Calibri"/>
                <w:color w:val="000000"/>
                <w:spacing w:val="-2"/>
              </w:rPr>
              <w:t>z ustawy.</w:t>
            </w:r>
            <w:r w:rsidR="00CF233B" w:rsidRPr="00957B06">
              <w:rPr>
                <w:rFonts w:cs="Calibri"/>
                <w:color w:val="000000"/>
                <w:spacing w:val="-2"/>
              </w:rPr>
              <w:t xml:space="preserve"> </w:t>
            </w:r>
            <w:r w:rsidR="00B0435C" w:rsidRPr="00957B06">
              <w:rPr>
                <w:rFonts w:cs="Calibri"/>
                <w:color w:val="000000"/>
                <w:spacing w:val="-2"/>
              </w:rPr>
              <w:t>Najlep</w:t>
            </w:r>
            <w:r w:rsidRPr="00957B06">
              <w:rPr>
                <w:rFonts w:cs="Calibri"/>
                <w:color w:val="000000"/>
                <w:spacing w:val="-2"/>
              </w:rPr>
              <w:t xml:space="preserve">sze rezultaty osiągnął wskaźnik </w:t>
            </w:r>
            <w:r w:rsidR="00B0435C" w:rsidRPr="00957B06">
              <w:rPr>
                <w:rFonts w:cs="Calibri"/>
                <w:color w:val="000000"/>
                <w:spacing w:val="-2"/>
              </w:rPr>
              <w:t>dostępności cyfrow</w:t>
            </w:r>
            <w:r w:rsidRPr="00957B06">
              <w:rPr>
                <w:rFonts w:cs="Calibri"/>
                <w:color w:val="000000"/>
                <w:spacing w:val="-2"/>
              </w:rPr>
              <w:t>ej</w:t>
            </w:r>
            <w:r w:rsidR="00B0435C" w:rsidRPr="00957B06">
              <w:rPr>
                <w:rFonts w:cs="Calibri"/>
                <w:color w:val="000000"/>
                <w:spacing w:val="-2"/>
              </w:rPr>
              <w:t xml:space="preserve"> (ok. 50%)</w:t>
            </w:r>
            <w:r w:rsidRPr="00957B06">
              <w:rPr>
                <w:rFonts w:cs="Calibri"/>
                <w:color w:val="000000"/>
                <w:spacing w:val="-2"/>
              </w:rPr>
              <w:t xml:space="preserve">. W przypadku dostępności </w:t>
            </w:r>
            <w:r w:rsidRPr="00957B06">
              <w:rPr>
                <w:rFonts w:cs="Calibri"/>
                <w:color w:val="000000"/>
                <w:spacing w:val="-2"/>
              </w:rPr>
              <w:lastRenderedPageBreak/>
              <w:t xml:space="preserve">architektonicznej wskaźnik realizacji przepisów ustawy wyniósł </w:t>
            </w:r>
            <w:r w:rsidR="00B0435C" w:rsidRPr="00957B06">
              <w:rPr>
                <w:rFonts w:cs="Calibri"/>
                <w:color w:val="000000"/>
                <w:spacing w:val="-2"/>
              </w:rPr>
              <w:t>ok. 4</w:t>
            </w:r>
            <w:r w:rsidR="00312F00" w:rsidRPr="00957B06">
              <w:rPr>
                <w:rFonts w:cs="Calibri"/>
                <w:color w:val="000000"/>
                <w:spacing w:val="-2"/>
              </w:rPr>
              <w:t>3</w:t>
            </w:r>
            <w:r w:rsidR="00B0435C" w:rsidRPr="00957B06">
              <w:rPr>
                <w:rFonts w:cs="Calibri"/>
                <w:color w:val="000000"/>
                <w:spacing w:val="-2"/>
              </w:rPr>
              <w:t>%</w:t>
            </w:r>
            <w:r w:rsidRPr="00957B06">
              <w:rPr>
                <w:rFonts w:cs="Calibri"/>
                <w:color w:val="000000"/>
                <w:spacing w:val="-2"/>
              </w:rPr>
              <w:t>. N</w:t>
            </w:r>
            <w:r w:rsidR="00B0435C" w:rsidRPr="00957B06">
              <w:rPr>
                <w:rFonts w:cs="Calibri"/>
                <w:color w:val="000000"/>
                <w:spacing w:val="-2"/>
              </w:rPr>
              <w:t xml:space="preserve">ajwiększym wyzwaniem </w:t>
            </w:r>
            <w:r w:rsidRPr="00957B06">
              <w:rPr>
                <w:rFonts w:cs="Calibri"/>
                <w:color w:val="000000"/>
                <w:spacing w:val="-2"/>
              </w:rPr>
              <w:t>pozostawało</w:t>
            </w:r>
            <w:r w:rsidR="00B0435C" w:rsidRPr="00957B06">
              <w:rPr>
                <w:rFonts w:cs="Calibri"/>
                <w:color w:val="000000"/>
                <w:spacing w:val="-2"/>
              </w:rPr>
              <w:t xml:space="preserve"> zapewni</w:t>
            </w:r>
            <w:r w:rsidR="007E6255" w:rsidRPr="00957B06">
              <w:rPr>
                <w:rFonts w:cs="Calibri"/>
                <w:color w:val="000000"/>
                <w:spacing w:val="-2"/>
              </w:rPr>
              <w:t>e</w:t>
            </w:r>
            <w:r w:rsidR="00B0435C" w:rsidRPr="00957B06">
              <w:rPr>
                <w:rFonts w:cs="Calibri"/>
                <w:color w:val="000000"/>
                <w:spacing w:val="-2"/>
              </w:rPr>
              <w:t>nie dostępn</w:t>
            </w:r>
            <w:r w:rsidR="00AB5139" w:rsidRPr="00957B06">
              <w:rPr>
                <w:rFonts w:cs="Calibri"/>
                <w:color w:val="000000"/>
                <w:spacing w:val="-2"/>
              </w:rPr>
              <w:t xml:space="preserve">ości informacyjno- komunikacyjnej </w:t>
            </w:r>
            <w:r w:rsidR="00B0435C" w:rsidRPr="00957B06">
              <w:rPr>
                <w:rFonts w:cs="Calibri"/>
                <w:color w:val="000000"/>
                <w:spacing w:val="-2"/>
              </w:rPr>
              <w:t>(</w:t>
            </w:r>
            <w:r w:rsidR="00AB5139" w:rsidRPr="00957B06">
              <w:rPr>
                <w:rFonts w:cs="Calibri"/>
                <w:color w:val="000000"/>
                <w:spacing w:val="-2"/>
              </w:rPr>
              <w:t xml:space="preserve">ok. </w:t>
            </w:r>
            <w:r w:rsidR="00B0435C" w:rsidRPr="00957B06">
              <w:rPr>
                <w:rFonts w:cs="Calibri"/>
                <w:color w:val="000000"/>
                <w:spacing w:val="-2"/>
              </w:rPr>
              <w:t>30%)</w:t>
            </w:r>
            <w:r w:rsidR="00D821B4" w:rsidRPr="00957B06">
              <w:rPr>
                <w:rFonts w:cs="Calibri"/>
                <w:color w:val="000000"/>
                <w:spacing w:val="-2"/>
              </w:rPr>
              <w:t>. Informacje z raportowania zostały szczegółowo zaprezentowane w zbiorczym raporcie i stanowią pierwszy ogólnokrajowy zbiór informacji</w:t>
            </w:r>
            <w:r w:rsidR="00CF233B" w:rsidRPr="00957B06">
              <w:rPr>
                <w:rFonts w:cs="Calibri"/>
                <w:color w:val="000000"/>
                <w:spacing w:val="-2"/>
              </w:rPr>
              <w:t xml:space="preserve"> statystycznej </w:t>
            </w:r>
            <w:r w:rsidR="00D821B4" w:rsidRPr="00957B06">
              <w:rPr>
                <w:rFonts w:cs="Calibri"/>
                <w:color w:val="000000"/>
                <w:spacing w:val="-2"/>
              </w:rPr>
              <w:t xml:space="preserve"> o dostępności podmiotów publicznych.   </w:t>
            </w:r>
            <w:r w:rsidR="00CF233B" w:rsidRPr="00957B06">
              <w:rPr>
                <w:rFonts w:cs="Calibri"/>
                <w:color w:val="000000"/>
                <w:spacing w:val="-2"/>
              </w:rPr>
              <w:t xml:space="preserve"> </w:t>
            </w:r>
          </w:p>
          <w:p w14:paraId="275A6516" w14:textId="77777777" w:rsidR="00984919" w:rsidRPr="00957B06" w:rsidRDefault="00984919" w:rsidP="00610AA3">
            <w:pPr>
              <w:pStyle w:val="TableParagraph"/>
              <w:ind w:left="0"/>
              <w:rPr>
                <w:rFonts w:cs="Calibri"/>
                <w:color w:val="000000"/>
                <w:spacing w:val="-2"/>
              </w:rPr>
            </w:pPr>
          </w:p>
          <w:p w14:paraId="7B43FC9E" w14:textId="1800E330" w:rsidR="00CF233B" w:rsidRPr="00957B06" w:rsidRDefault="00D821B4" w:rsidP="00610AA3">
            <w:pPr>
              <w:pStyle w:val="TableParagraph"/>
              <w:ind w:left="0"/>
              <w:rPr>
                <w:rFonts w:cs="Calibri"/>
                <w:color w:val="000000"/>
                <w:spacing w:val="-2"/>
              </w:rPr>
            </w:pPr>
            <w:r w:rsidRPr="00957B06">
              <w:rPr>
                <w:rFonts w:cs="Calibri"/>
                <w:color w:val="000000"/>
                <w:spacing w:val="-2"/>
              </w:rPr>
              <w:t xml:space="preserve">Kolejne raportowanie zrealizowano </w:t>
            </w:r>
            <w:r w:rsidR="00E37B75" w:rsidRPr="00957B06">
              <w:rPr>
                <w:rFonts w:cs="Calibri"/>
                <w:color w:val="000000"/>
                <w:spacing w:val="-2"/>
              </w:rPr>
              <w:t>w 2025 r.</w:t>
            </w:r>
            <w:r w:rsidRPr="00957B06">
              <w:rPr>
                <w:rFonts w:cs="Calibri"/>
                <w:color w:val="000000"/>
                <w:spacing w:val="-2"/>
              </w:rPr>
              <w:t xml:space="preserve"> </w:t>
            </w:r>
            <w:r w:rsidR="00174673" w:rsidRPr="00957B06">
              <w:rPr>
                <w:rFonts w:cs="Calibri"/>
                <w:color w:val="000000"/>
                <w:spacing w:val="-2"/>
              </w:rPr>
              <w:t>Wyniki badania dostępności z 2025 r. nie mogą być bezpośrednio porównywane z tymi z 2021 r</w:t>
            </w:r>
            <w:r w:rsidR="0022730B" w:rsidRPr="00957B06">
              <w:rPr>
                <w:rFonts w:cs="Calibri"/>
                <w:color w:val="000000"/>
                <w:spacing w:val="-2"/>
              </w:rPr>
              <w:t>. ze względu na zmianę metodologii obliczania wskaźników dostępności. Niemniej jednak</w:t>
            </w:r>
            <w:r w:rsidR="00651D6F" w:rsidRPr="00957B06">
              <w:rPr>
                <w:rFonts w:cs="Calibri"/>
                <w:color w:val="000000"/>
                <w:spacing w:val="-2"/>
              </w:rPr>
              <w:t xml:space="preserve"> przy zastosowaniu analogicznych metodyk wyliczania wskaźników co w 2021</w:t>
            </w:r>
            <w:r w:rsidR="008167FF" w:rsidRPr="00957B06">
              <w:rPr>
                <w:rFonts w:cs="Calibri"/>
                <w:color w:val="000000"/>
                <w:spacing w:val="-2"/>
              </w:rPr>
              <w:t>,</w:t>
            </w:r>
            <w:r w:rsidR="00651D6F" w:rsidRPr="00957B06">
              <w:rPr>
                <w:rFonts w:cs="Calibri"/>
                <w:color w:val="000000"/>
                <w:spacing w:val="-2"/>
              </w:rPr>
              <w:t xml:space="preserve"> </w:t>
            </w:r>
            <w:r w:rsidR="008167FF" w:rsidRPr="00957B06">
              <w:rPr>
                <w:rFonts w:cs="Calibri"/>
                <w:color w:val="000000"/>
                <w:spacing w:val="-2"/>
              </w:rPr>
              <w:t>o</w:t>
            </w:r>
            <w:r w:rsidR="0022730B" w:rsidRPr="00957B06">
              <w:rPr>
                <w:rFonts w:cs="Calibri"/>
                <w:color w:val="000000"/>
                <w:spacing w:val="-2"/>
              </w:rPr>
              <w:t>gólny wskaźnik dostępności w 2025 r. wyniósł</w:t>
            </w:r>
            <w:r w:rsidR="00651D6F" w:rsidRPr="00957B06">
              <w:rPr>
                <w:rFonts w:cs="Calibri"/>
                <w:color w:val="000000"/>
                <w:spacing w:val="-2"/>
              </w:rPr>
              <w:t>by</w:t>
            </w:r>
            <w:r w:rsidR="0022730B" w:rsidRPr="00957B06">
              <w:rPr>
                <w:rFonts w:cs="Calibri"/>
                <w:color w:val="000000"/>
                <w:spacing w:val="-2"/>
              </w:rPr>
              <w:t xml:space="preserve"> ok. 43%</w:t>
            </w:r>
            <w:r w:rsidR="008167FF" w:rsidRPr="00957B06">
              <w:rPr>
                <w:rFonts w:cs="Calibri"/>
                <w:color w:val="000000"/>
                <w:spacing w:val="-2"/>
              </w:rPr>
              <w:t>,</w:t>
            </w:r>
            <w:r w:rsidR="0022730B" w:rsidRPr="00957B06">
              <w:rPr>
                <w:rFonts w:cs="Calibri"/>
                <w:color w:val="000000"/>
                <w:spacing w:val="-2"/>
              </w:rPr>
              <w:t xml:space="preserve"> był</w:t>
            </w:r>
            <w:r w:rsidR="008167FF" w:rsidRPr="00957B06">
              <w:rPr>
                <w:rFonts w:cs="Calibri"/>
                <w:color w:val="000000"/>
                <w:spacing w:val="-2"/>
              </w:rPr>
              <w:t>by</w:t>
            </w:r>
            <w:r w:rsidR="0022730B" w:rsidRPr="00957B06">
              <w:rPr>
                <w:rFonts w:cs="Calibri"/>
                <w:color w:val="000000"/>
                <w:spacing w:val="-2"/>
              </w:rPr>
              <w:t xml:space="preserve"> o ok. </w:t>
            </w:r>
            <w:r w:rsidR="00C14D56" w:rsidRPr="00957B06">
              <w:rPr>
                <w:rFonts w:cs="Calibri"/>
                <w:color w:val="000000"/>
                <w:spacing w:val="-2"/>
              </w:rPr>
              <w:t>2 punkty proc.</w:t>
            </w:r>
            <w:r w:rsidR="0022730B" w:rsidRPr="00957B06">
              <w:rPr>
                <w:rFonts w:cs="Calibri"/>
                <w:color w:val="000000"/>
                <w:spacing w:val="-2"/>
              </w:rPr>
              <w:t xml:space="preserve"> lepszy niż </w:t>
            </w:r>
            <w:r w:rsidR="00AB5139" w:rsidRPr="00957B06">
              <w:rPr>
                <w:rFonts w:cs="Calibri"/>
                <w:color w:val="000000"/>
                <w:spacing w:val="-2"/>
              </w:rPr>
              <w:t xml:space="preserve">w </w:t>
            </w:r>
            <w:r w:rsidR="0022730B" w:rsidRPr="00957B06">
              <w:rPr>
                <w:rFonts w:cs="Calibri"/>
                <w:color w:val="000000"/>
                <w:spacing w:val="-2"/>
              </w:rPr>
              <w:t xml:space="preserve">2021 r. </w:t>
            </w:r>
            <w:r w:rsidR="00C2281E" w:rsidRPr="00957B06">
              <w:rPr>
                <w:rFonts w:cs="Calibri"/>
                <w:color w:val="000000"/>
                <w:spacing w:val="-2"/>
              </w:rPr>
              <w:t>Wskaźnik dostępności architektonicznej w 2025 r. utrzymał się na poziomie zbliżonym do poziomu z 2021 r.</w:t>
            </w:r>
            <w:r w:rsidR="008167FF" w:rsidRPr="00957B06">
              <w:rPr>
                <w:rFonts w:cs="Calibri"/>
                <w:color w:val="000000"/>
                <w:spacing w:val="-2"/>
              </w:rPr>
              <w:t>,</w:t>
            </w:r>
            <w:r w:rsidR="0022730B" w:rsidRPr="00957B06">
              <w:rPr>
                <w:rFonts w:cs="Calibri"/>
                <w:color w:val="000000"/>
                <w:spacing w:val="-2"/>
              </w:rPr>
              <w:t xml:space="preserve"> czyli ok. 43%. Wskaźnik dostępności cyfrowej w 2025 r. wyniósł</w:t>
            </w:r>
            <w:r w:rsidR="00B97216" w:rsidRPr="00957B06">
              <w:rPr>
                <w:rFonts w:cs="Calibri"/>
                <w:color w:val="000000"/>
                <w:spacing w:val="-2"/>
              </w:rPr>
              <w:t xml:space="preserve"> 55% (w</w:t>
            </w:r>
            <w:r w:rsidR="00431B2B" w:rsidRPr="00957B06">
              <w:rPr>
                <w:rFonts w:cs="Calibri"/>
                <w:color w:val="000000"/>
                <w:spacing w:val="-2"/>
              </w:rPr>
              <w:t xml:space="preserve"> </w:t>
            </w:r>
            <w:r w:rsidR="00B97216" w:rsidRPr="00957B06">
              <w:rPr>
                <w:rFonts w:cs="Calibri"/>
                <w:color w:val="000000"/>
                <w:spacing w:val="-2"/>
              </w:rPr>
              <w:t>2021</w:t>
            </w:r>
            <w:r w:rsidR="00431B2B" w:rsidRPr="00957B06">
              <w:rPr>
                <w:rFonts w:cs="Calibri"/>
                <w:color w:val="000000"/>
                <w:spacing w:val="-2"/>
              </w:rPr>
              <w:t xml:space="preserve"> r</w:t>
            </w:r>
            <w:r w:rsidR="008167FF" w:rsidRPr="00957B06">
              <w:rPr>
                <w:rFonts w:cs="Calibri"/>
                <w:color w:val="000000"/>
                <w:spacing w:val="-2"/>
              </w:rPr>
              <w:t>.</w:t>
            </w:r>
            <w:r w:rsidR="00B97216" w:rsidRPr="00957B06">
              <w:rPr>
                <w:rFonts w:cs="Calibri"/>
                <w:color w:val="000000"/>
                <w:spacing w:val="-2"/>
              </w:rPr>
              <w:t xml:space="preserve"> –</w:t>
            </w:r>
            <w:r w:rsidR="00AB5139" w:rsidRPr="00957B06">
              <w:rPr>
                <w:rFonts w:cs="Calibri"/>
                <w:color w:val="000000"/>
                <w:spacing w:val="-2"/>
              </w:rPr>
              <w:t xml:space="preserve"> </w:t>
            </w:r>
            <w:r w:rsidR="00B97216" w:rsidRPr="00957B06">
              <w:rPr>
                <w:rFonts w:cs="Calibri"/>
                <w:color w:val="000000"/>
                <w:spacing w:val="-2"/>
              </w:rPr>
              <w:t>49%)</w:t>
            </w:r>
            <w:r w:rsidR="0022730B" w:rsidRPr="00957B06">
              <w:rPr>
                <w:rFonts w:cs="Calibri"/>
                <w:color w:val="000000"/>
                <w:spacing w:val="-2"/>
              </w:rPr>
              <w:t>. Wreszcie wskaźnik dostępności informacyjno-komunikacyjnej w 2025 r. wyniósł ok. 30%</w:t>
            </w:r>
            <w:r w:rsidR="008167FF" w:rsidRPr="00957B06">
              <w:rPr>
                <w:rFonts w:cs="Calibri"/>
                <w:color w:val="000000"/>
                <w:spacing w:val="-2"/>
              </w:rPr>
              <w:t>.</w:t>
            </w:r>
            <w:r w:rsidR="0022730B" w:rsidRPr="00957B06">
              <w:rPr>
                <w:rFonts w:cs="Calibri"/>
                <w:color w:val="000000"/>
                <w:spacing w:val="-2"/>
              </w:rPr>
              <w:t xml:space="preserve"> </w:t>
            </w:r>
            <w:r w:rsidR="008167FF" w:rsidRPr="00957B06">
              <w:rPr>
                <w:rFonts w:cs="Calibri"/>
                <w:color w:val="000000"/>
                <w:spacing w:val="-2"/>
              </w:rPr>
              <w:t>B</w:t>
            </w:r>
            <w:r w:rsidR="0022730B" w:rsidRPr="00957B06">
              <w:rPr>
                <w:rFonts w:cs="Calibri"/>
                <w:color w:val="000000"/>
                <w:spacing w:val="-2"/>
              </w:rPr>
              <w:t>ył nieznacznie niższy niż podczas pierwszej edycji badania</w:t>
            </w:r>
            <w:r w:rsidR="00B97216" w:rsidRPr="00957B06">
              <w:rPr>
                <w:rFonts w:cs="Calibri"/>
                <w:color w:val="000000"/>
                <w:spacing w:val="-2"/>
              </w:rPr>
              <w:t xml:space="preserve"> (31%)</w:t>
            </w:r>
            <w:r w:rsidR="008167FF" w:rsidRPr="00957B06">
              <w:rPr>
                <w:rFonts w:cs="Calibri"/>
                <w:color w:val="000000"/>
                <w:spacing w:val="-2"/>
              </w:rPr>
              <w:t>.</w:t>
            </w:r>
          </w:p>
          <w:p w14:paraId="7237DC82" w14:textId="637E95B8" w:rsidR="00AB5139" w:rsidRPr="00957B06" w:rsidRDefault="00AB5139" w:rsidP="00610AA3">
            <w:pPr>
              <w:pStyle w:val="TableParagraph"/>
              <w:ind w:left="0"/>
              <w:rPr>
                <w:rFonts w:cs="Calibri"/>
                <w:color w:val="000000"/>
                <w:spacing w:val="-2"/>
              </w:rPr>
            </w:pPr>
            <w:r w:rsidRPr="00957B06">
              <w:rPr>
                <w:rFonts w:cs="Calibri"/>
                <w:color w:val="000000"/>
                <w:spacing w:val="-2"/>
              </w:rPr>
              <w:t>Ważnym aspektem badania przeprowadzonego w 2025 r. było rozszerzenie jego zakresu przedmiotowego o informacje nt. otrzymanych wniosków/żądań zapewnienia dostępności oraz postępowań skargowych.</w:t>
            </w:r>
          </w:p>
          <w:p w14:paraId="0A428C90" w14:textId="77777777" w:rsidR="008A55EB" w:rsidRPr="00957B06" w:rsidRDefault="008A55EB" w:rsidP="00395418">
            <w:pPr>
              <w:pStyle w:val="TableParagraph"/>
              <w:ind w:left="0" w:right="101"/>
              <w:jc w:val="both"/>
              <w:rPr>
                <w:rFonts w:cs="Calibri"/>
                <w:color w:val="000000"/>
                <w:spacing w:val="-2"/>
              </w:rPr>
            </w:pPr>
          </w:p>
          <w:p w14:paraId="2D066BC9" w14:textId="0D9C5ADA" w:rsidR="00E54AC4" w:rsidRPr="00957B06" w:rsidRDefault="00E37B75" w:rsidP="003C3F42">
            <w:pPr>
              <w:pStyle w:val="TableParagraph"/>
              <w:numPr>
                <w:ilvl w:val="0"/>
                <w:numId w:val="10"/>
              </w:numPr>
              <w:ind w:right="101"/>
              <w:jc w:val="both"/>
              <w:rPr>
                <w:rFonts w:cs="Calibri"/>
                <w:b/>
                <w:bCs/>
                <w:color w:val="000000"/>
                <w:spacing w:val="-2"/>
              </w:rPr>
            </w:pPr>
            <w:r w:rsidRPr="00957B06">
              <w:rPr>
                <w:rFonts w:cs="Calibri"/>
                <w:b/>
                <w:bCs/>
                <w:color w:val="000000"/>
                <w:spacing w:val="-2"/>
              </w:rPr>
              <w:t>Efekty społeczne</w:t>
            </w:r>
          </w:p>
          <w:p w14:paraId="425619AA" w14:textId="7C236FA3" w:rsidR="006320EB" w:rsidRPr="00957B06" w:rsidRDefault="006320EB" w:rsidP="006320EB">
            <w:pPr>
              <w:pStyle w:val="TableParagraph"/>
              <w:ind w:left="467" w:right="101"/>
              <w:jc w:val="both"/>
              <w:rPr>
                <w:rFonts w:cs="Calibri"/>
                <w:color w:val="000000"/>
                <w:spacing w:val="-2"/>
              </w:rPr>
            </w:pPr>
          </w:p>
          <w:p w14:paraId="21BF5EE3" w14:textId="10FFAD3E" w:rsidR="00EA0F78" w:rsidRPr="00957B06" w:rsidRDefault="00EA0F78" w:rsidP="00395418">
            <w:pPr>
              <w:pStyle w:val="TableParagraph"/>
              <w:ind w:left="0" w:right="101"/>
              <w:rPr>
                <w:rFonts w:cs="Calibri"/>
                <w:color w:val="000000"/>
                <w:spacing w:val="-2"/>
              </w:rPr>
            </w:pPr>
            <w:r w:rsidRPr="00957B06">
              <w:rPr>
                <w:rFonts w:cs="Calibri"/>
                <w:color w:val="000000"/>
                <w:spacing w:val="-2"/>
              </w:rPr>
              <w:t xml:space="preserve">Głównym elementem wspierającym proces wdrażania przepisów </w:t>
            </w:r>
            <w:r w:rsidR="005C7B6D" w:rsidRPr="00957B06">
              <w:rPr>
                <w:rFonts w:cs="Calibri"/>
                <w:color w:val="000000"/>
                <w:spacing w:val="-2"/>
              </w:rPr>
              <w:t xml:space="preserve">UZD </w:t>
            </w:r>
            <w:r w:rsidRPr="00957B06">
              <w:rPr>
                <w:rFonts w:cs="Calibri"/>
                <w:color w:val="000000"/>
                <w:spacing w:val="-2"/>
              </w:rPr>
              <w:t>w tym kształtowania polityki zapewniania dostępności na poziomie krajowym stał się program rządowy usankcjonowany przepisami art. 10 ustawy.</w:t>
            </w:r>
          </w:p>
          <w:p w14:paraId="540B7772" w14:textId="77777777" w:rsidR="00EA0F78" w:rsidRPr="00957B06" w:rsidRDefault="00EA0F78" w:rsidP="00EA0F78">
            <w:pPr>
              <w:pStyle w:val="TableParagraph"/>
              <w:ind w:left="467" w:right="101"/>
              <w:rPr>
                <w:rFonts w:cs="Calibri"/>
                <w:color w:val="000000"/>
                <w:spacing w:val="-2"/>
              </w:rPr>
            </w:pPr>
          </w:p>
          <w:p w14:paraId="6DB2E434" w14:textId="2CAFBD0C" w:rsidR="00B97216" w:rsidRPr="00957B06" w:rsidRDefault="00EA0F78" w:rsidP="00395418">
            <w:pPr>
              <w:pStyle w:val="TableParagraph"/>
              <w:ind w:left="0" w:right="101"/>
              <w:rPr>
                <w:rFonts w:cs="Calibri"/>
                <w:color w:val="000000"/>
                <w:spacing w:val="-2"/>
              </w:rPr>
            </w:pPr>
            <w:r w:rsidRPr="00957B06">
              <w:rPr>
                <w:rFonts w:cs="Calibri"/>
                <w:color w:val="000000"/>
                <w:spacing w:val="-2"/>
              </w:rPr>
              <w:t>W wyniku jego działań przeprowadzono szereg inicjatyw poprawiających stan dostępności w wielu aspektach codziennego funkcjonowania osób ze szczególnymi potrzebami i ich rodzin</w:t>
            </w:r>
            <w:r w:rsidR="00ED4A76" w:rsidRPr="00957B06">
              <w:rPr>
                <w:rFonts w:cs="Calibri"/>
                <w:color w:val="000000"/>
                <w:spacing w:val="-2"/>
              </w:rPr>
              <w:t>. Efekty realizacji programu jako narzędzia realizacji z</w:t>
            </w:r>
            <w:r w:rsidR="005C49A4" w:rsidRPr="00957B06">
              <w:rPr>
                <w:rFonts w:cs="Calibri"/>
                <w:color w:val="000000"/>
                <w:spacing w:val="-2"/>
              </w:rPr>
              <w:t>a</w:t>
            </w:r>
            <w:r w:rsidR="00ED4A76" w:rsidRPr="00957B06">
              <w:rPr>
                <w:rFonts w:cs="Calibri"/>
                <w:color w:val="000000"/>
                <w:spacing w:val="-2"/>
              </w:rPr>
              <w:t xml:space="preserve">dań </w:t>
            </w:r>
            <w:r w:rsidR="00884F41" w:rsidRPr="00957B06">
              <w:rPr>
                <w:rFonts w:cs="Calibri"/>
                <w:color w:val="000000"/>
                <w:spacing w:val="-2"/>
              </w:rPr>
              <w:t>ministra</w:t>
            </w:r>
            <w:r w:rsidR="00ED4A76" w:rsidRPr="00957B06">
              <w:rPr>
                <w:rFonts w:cs="Calibri"/>
                <w:color w:val="000000"/>
                <w:spacing w:val="-2"/>
              </w:rPr>
              <w:t xml:space="preserve"> ds. polityki </w:t>
            </w:r>
            <w:r w:rsidR="00884F41" w:rsidRPr="00957B06">
              <w:rPr>
                <w:rFonts w:cs="Calibri"/>
                <w:color w:val="000000"/>
                <w:spacing w:val="-2"/>
              </w:rPr>
              <w:t xml:space="preserve">regionalnej opisanych w art. 9 </w:t>
            </w:r>
            <w:r w:rsidR="005C7B6D" w:rsidRPr="00957B06">
              <w:rPr>
                <w:rFonts w:cs="Calibri"/>
                <w:color w:val="000000"/>
                <w:spacing w:val="-2"/>
              </w:rPr>
              <w:t>UZD</w:t>
            </w:r>
            <w:r w:rsidR="00884F41" w:rsidRPr="00957B06">
              <w:rPr>
                <w:rFonts w:cs="Calibri"/>
                <w:color w:val="000000"/>
                <w:spacing w:val="-2"/>
              </w:rPr>
              <w:t xml:space="preserve"> </w:t>
            </w:r>
            <w:r w:rsidR="00ED4A76" w:rsidRPr="00957B06">
              <w:rPr>
                <w:rFonts w:cs="Calibri"/>
                <w:color w:val="000000"/>
                <w:spacing w:val="-2"/>
              </w:rPr>
              <w:t xml:space="preserve">przyczyniły się do poprawy </w:t>
            </w:r>
            <w:r w:rsidR="00884F41" w:rsidRPr="00957B06">
              <w:rPr>
                <w:rFonts w:cs="Calibri"/>
                <w:color w:val="000000"/>
                <w:spacing w:val="-2"/>
              </w:rPr>
              <w:t xml:space="preserve">warunków dla większej samodzielności życia osób ze szczególnymi potrzebami. </w:t>
            </w:r>
            <w:r w:rsidR="00ED4A76" w:rsidRPr="00957B06">
              <w:rPr>
                <w:rFonts w:cs="Calibri"/>
                <w:color w:val="000000"/>
                <w:spacing w:val="-2"/>
              </w:rPr>
              <w:t>Szczegółowy opis o</w:t>
            </w:r>
            <w:r w:rsidR="00884F41" w:rsidRPr="00957B06">
              <w:rPr>
                <w:rFonts w:cs="Calibri"/>
                <w:color w:val="000000"/>
                <w:spacing w:val="-2"/>
              </w:rPr>
              <w:t xml:space="preserve">siągniętych rezultatów programu jest prezentowany na stronie </w:t>
            </w:r>
            <w:hyperlink r:id="rId11" w:history="1">
              <w:r w:rsidR="00CF233B" w:rsidRPr="00957B06">
                <w:rPr>
                  <w:color w:val="4F81BD" w:themeColor="accent1"/>
                </w:rPr>
                <w:t>https://www.funduszeeuropejskie.gov.pl/strony/o-funduszach/fundusze-europejskie-bez-barier/dostepnosc/program</w:t>
              </w:r>
              <w:r w:rsidR="00CF233B" w:rsidRPr="00957B06">
                <w:rPr>
                  <w:color w:val="000000"/>
                </w:rPr>
                <w:t>/</w:t>
              </w:r>
            </w:hyperlink>
            <w:r w:rsidR="00CF233B" w:rsidRPr="00467BD3">
              <w:rPr>
                <w:rFonts w:cs="Calibri"/>
                <w:color w:val="000000"/>
                <w:spacing w:val="-2"/>
              </w:rPr>
              <w:t xml:space="preserve"> </w:t>
            </w:r>
          </w:p>
          <w:p w14:paraId="600F3C82" w14:textId="188F9D5F" w:rsidR="00EA0F78" w:rsidRPr="00957B06" w:rsidRDefault="00884F41" w:rsidP="00395418">
            <w:pPr>
              <w:pStyle w:val="TableParagraph"/>
              <w:ind w:left="0" w:right="101"/>
              <w:rPr>
                <w:rFonts w:cs="Calibri"/>
                <w:color w:val="000000"/>
                <w:spacing w:val="-2"/>
              </w:rPr>
            </w:pPr>
            <w:r w:rsidRPr="00957B06">
              <w:rPr>
                <w:rFonts w:cs="Calibri"/>
                <w:color w:val="000000"/>
                <w:spacing w:val="-2"/>
              </w:rPr>
              <w:t xml:space="preserve">Poniżej zostały wymienione </w:t>
            </w:r>
            <w:r w:rsidR="00D121B6" w:rsidRPr="00957B06">
              <w:rPr>
                <w:rFonts w:cs="Calibri"/>
                <w:color w:val="000000"/>
                <w:spacing w:val="-2"/>
              </w:rPr>
              <w:t xml:space="preserve">jego wybrane efekty </w:t>
            </w:r>
            <w:r w:rsidR="0073431A" w:rsidRPr="00957B06">
              <w:rPr>
                <w:rFonts w:cs="Calibri"/>
                <w:color w:val="000000"/>
                <w:spacing w:val="-2"/>
              </w:rPr>
              <w:t>z lat 2018 – 202</w:t>
            </w:r>
            <w:r w:rsidR="006A0AFD" w:rsidRPr="00957B06">
              <w:rPr>
                <w:rFonts w:cs="Calibri"/>
                <w:color w:val="000000"/>
                <w:spacing w:val="-2"/>
              </w:rPr>
              <w:t>5</w:t>
            </w:r>
            <w:r w:rsidR="00CF233B" w:rsidRPr="00957B06">
              <w:rPr>
                <w:rFonts w:cs="Calibri"/>
                <w:color w:val="000000"/>
                <w:spacing w:val="-2"/>
              </w:rPr>
              <w:t>,</w:t>
            </w:r>
            <w:r w:rsidR="0073431A" w:rsidRPr="00957B06">
              <w:rPr>
                <w:rFonts w:cs="Calibri"/>
                <w:color w:val="000000"/>
                <w:spacing w:val="-2"/>
              </w:rPr>
              <w:t xml:space="preserve"> </w:t>
            </w:r>
            <w:r w:rsidR="00D121B6" w:rsidRPr="00957B06">
              <w:rPr>
                <w:rFonts w:cs="Calibri"/>
                <w:color w:val="000000"/>
                <w:spacing w:val="-2"/>
              </w:rPr>
              <w:t xml:space="preserve">pozujące skalę oddziaływana </w:t>
            </w:r>
            <w:r w:rsidR="005C49A4" w:rsidRPr="00957B06">
              <w:rPr>
                <w:rFonts w:cs="Calibri"/>
                <w:color w:val="000000"/>
                <w:spacing w:val="-2"/>
              </w:rPr>
              <w:t xml:space="preserve">programu </w:t>
            </w:r>
            <w:r w:rsidR="00D121B6" w:rsidRPr="00957B06">
              <w:rPr>
                <w:rFonts w:cs="Calibri"/>
                <w:color w:val="000000"/>
                <w:spacing w:val="-2"/>
              </w:rPr>
              <w:t>w aspektach wskazanych w OSR</w:t>
            </w:r>
            <w:r w:rsidR="005C49A4" w:rsidRPr="00957B06">
              <w:rPr>
                <w:rFonts w:cs="Calibri"/>
                <w:color w:val="000000"/>
                <w:spacing w:val="-2"/>
              </w:rPr>
              <w:t xml:space="preserve">. Jednocześnie należy podkreślić że poza danymi w ww. raportowania stanu </w:t>
            </w:r>
            <w:r w:rsidR="00A2659D" w:rsidRPr="00957B06">
              <w:rPr>
                <w:rFonts w:cs="Calibri"/>
                <w:color w:val="000000"/>
                <w:spacing w:val="-2"/>
              </w:rPr>
              <w:t>zapewniania</w:t>
            </w:r>
            <w:r w:rsidR="005C49A4" w:rsidRPr="00957B06">
              <w:rPr>
                <w:rFonts w:cs="Calibri"/>
                <w:color w:val="000000"/>
                <w:spacing w:val="-2"/>
              </w:rPr>
              <w:t xml:space="preserve"> dostępności przez podmioty publiczne</w:t>
            </w:r>
            <w:r w:rsidR="00A2659D" w:rsidRPr="00957B06">
              <w:rPr>
                <w:rFonts w:cs="Calibri"/>
                <w:color w:val="000000"/>
                <w:spacing w:val="-2"/>
              </w:rPr>
              <w:t xml:space="preserve"> oraz bieżącym monitorowaniem funkcjonowania mechanizmów </w:t>
            </w:r>
            <w:r w:rsidR="005C7B6D" w:rsidRPr="00957B06">
              <w:rPr>
                <w:rFonts w:cs="Calibri"/>
                <w:color w:val="000000"/>
                <w:spacing w:val="-2"/>
              </w:rPr>
              <w:t xml:space="preserve">UZD </w:t>
            </w:r>
            <w:r w:rsidR="00A2659D" w:rsidRPr="00957B06">
              <w:rPr>
                <w:rFonts w:cs="Calibri"/>
                <w:color w:val="000000"/>
                <w:spacing w:val="-2"/>
              </w:rPr>
              <w:t xml:space="preserve">takich jak </w:t>
            </w:r>
            <w:r w:rsidR="00CF233B" w:rsidRPr="00957B06">
              <w:rPr>
                <w:rFonts w:cs="Calibri"/>
                <w:color w:val="000000"/>
                <w:spacing w:val="-2"/>
              </w:rPr>
              <w:t>np. F</w:t>
            </w:r>
            <w:r w:rsidR="00A2659D" w:rsidRPr="00957B06">
              <w:rPr>
                <w:rFonts w:cs="Calibri"/>
                <w:color w:val="000000"/>
                <w:spacing w:val="-2"/>
              </w:rPr>
              <w:t xml:space="preserve">undusz </w:t>
            </w:r>
            <w:r w:rsidR="00CF233B" w:rsidRPr="00957B06">
              <w:rPr>
                <w:rFonts w:cs="Calibri"/>
                <w:color w:val="000000"/>
                <w:spacing w:val="-2"/>
              </w:rPr>
              <w:t>D</w:t>
            </w:r>
            <w:r w:rsidR="00A2659D" w:rsidRPr="00957B06">
              <w:rPr>
                <w:rFonts w:cs="Calibri"/>
                <w:color w:val="000000"/>
                <w:spacing w:val="-2"/>
              </w:rPr>
              <w:t>ostępności, post</w:t>
            </w:r>
            <w:r w:rsidR="00B97216" w:rsidRPr="00957B06">
              <w:rPr>
                <w:rFonts w:cs="Calibri"/>
                <w:color w:val="000000"/>
                <w:spacing w:val="-2"/>
              </w:rPr>
              <w:t>ę</w:t>
            </w:r>
            <w:r w:rsidR="00A2659D" w:rsidRPr="00957B06">
              <w:rPr>
                <w:rFonts w:cs="Calibri"/>
                <w:color w:val="000000"/>
                <w:spacing w:val="-2"/>
              </w:rPr>
              <w:t>powanie skargowe i certyfikacja</w:t>
            </w:r>
            <w:r w:rsidR="00CF233B" w:rsidRPr="00957B06">
              <w:rPr>
                <w:rFonts w:cs="Calibri"/>
                <w:color w:val="000000"/>
                <w:spacing w:val="-2"/>
              </w:rPr>
              <w:t xml:space="preserve"> - </w:t>
            </w:r>
            <w:r w:rsidR="005C49A4" w:rsidRPr="00957B06">
              <w:rPr>
                <w:rFonts w:cs="Calibri"/>
                <w:color w:val="000000"/>
                <w:spacing w:val="-2"/>
              </w:rPr>
              <w:t>nie były prowadzone badania</w:t>
            </w:r>
            <w:r w:rsidR="00A2659D" w:rsidRPr="00957B06">
              <w:rPr>
                <w:rFonts w:cs="Calibri"/>
                <w:color w:val="000000"/>
                <w:spacing w:val="-2"/>
              </w:rPr>
              <w:t xml:space="preserve"> i analizy </w:t>
            </w:r>
            <w:r w:rsidR="005C49A4" w:rsidRPr="00957B06">
              <w:rPr>
                <w:rFonts w:cs="Calibri"/>
                <w:color w:val="000000"/>
                <w:spacing w:val="-2"/>
              </w:rPr>
              <w:t xml:space="preserve">pozwalające na opisanie w sposób szczegółowy wpływu funkcjonowania ustawy </w:t>
            </w:r>
            <w:r w:rsidR="00A2659D" w:rsidRPr="00957B06">
              <w:rPr>
                <w:rFonts w:cs="Calibri"/>
                <w:color w:val="000000"/>
                <w:spacing w:val="-2"/>
              </w:rPr>
              <w:t>na kwestie opisanie w pkt 1- 10 w efektach społecznych w OSR</w:t>
            </w:r>
            <w:r w:rsidR="005C7B6D" w:rsidRPr="00957B06">
              <w:rPr>
                <w:rFonts w:cs="Calibri"/>
                <w:color w:val="000000"/>
                <w:spacing w:val="-2"/>
              </w:rPr>
              <w:t xml:space="preserve"> UZD</w:t>
            </w:r>
            <w:r w:rsidR="00A2659D" w:rsidRPr="00957B06">
              <w:rPr>
                <w:rFonts w:cs="Calibri"/>
                <w:color w:val="000000"/>
                <w:spacing w:val="-2"/>
              </w:rPr>
              <w:t xml:space="preserve">. </w:t>
            </w:r>
            <w:r w:rsidR="00CF233B" w:rsidRPr="00957B06">
              <w:rPr>
                <w:rFonts w:cs="Calibri"/>
                <w:color w:val="000000"/>
                <w:spacing w:val="-2"/>
              </w:rPr>
              <w:t xml:space="preserve"> </w:t>
            </w:r>
            <w:r w:rsidRPr="00957B06">
              <w:rPr>
                <w:rFonts w:cs="Calibri"/>
                <w:color w:val="000000"/>
                <w:spacing w:val="-2"/>
              </w:rPr>
              <w:t xml:space="preserve"> </w:t>
            </w:r>
          </w:p>
          <w:p w14:paraId="36CA4001" w14:textId="77777777" w:rsidR="00EA0F78" w:rsidRPr="00957B06" w:rsidRDefault="00EA0F78" w:rsidP="00EA0F78">
            <w:pPr>
              <w:pStyle w:val="TableParagraph"/>
              <w:ind w:left="467" w:right="101"/>
              <w:rPr>
                <w:rFonts w:cs="Calibri"/>
                <w:color w:val="000000"/>
                <w:spacing w:val="-2"/>
              </w:rPr>
            </w:pPr>
          </w:p>
          <w:p w14:paraId="23E85B7B" w14:textId="212CCC6B" w:rsidR="00A44586" w:rsidRPr="00957B06" w:rsidRDefault="00237894" w:rsidP="00CF233B">
            <w:pPr>
              <w:pStyle w:val="TableParagraph"/>
              <w:ind w:right="101"/>
              <w:rPr>
                <w:rFonts w:cs="Calibri"/>
                <w:color w:val="000000"/>
                <w:spacing w:val="-2"/>
              </w:rPr>
            </w:pPr>
            <w:r w:rsidRPr="00957B06">
              <w:rPr>
                <w:rFonts w:cs="Calibri"/>
                <w:color w:val="000000"/>
                <w:spacing w:val="-2"/>
              </w:rPr>
              <w:t>(</w:t>
            </w:r>
            <w:r w:rsidR="00A44586" w:rsidRPr="00957B06">
              <w:rPr>
                <w:rFonts w:cs="Calibri"/>
                <w:color w:val="000000"/>
                <w:spacing w:val="-2"/>
              </w:rPr>
              <w:t>1, 2, 3, 6</w:t>
            </w:r>
            <w:r w:rsidRPr="00957B06">
              <w:rPr>
                <w:rFonts w:cs="Calibri"/>
                <w:color w:val="000000"/>
                <w:spacing w:val="-2"/>
              </w:rPr>
              <w:t>)</w:t>
            </w:r>
          </w:p>
          <w:p w14:paraId="2591A87E" w14:textId="77777777" w:rsidR="00CF233B" w:rsidRPr="00957B06" w:rsidRDefault="00EA0F78" w:rsidP="00395418">
            <w:pPr>
              <w:pStyle w:val="TableParagraph"/>
              <w:ind w:left="0" w:right="101"/>
              <w:rPr>
                <w:rFonts w:cs="Calibri"/>
                <w:color w:val="000000"/>
                <w:spacing w:val="-2"/>
              </w:rPr>
            </w:pPr>
            <w:r w:rsidRPr="00957B06">
              <w:rPr>
                <w:rFonts w:cs="Calibri"/>
                <w:color w:val="000000"/>
                <w:spacing w:val="-2"/>
              </w:rPr>
              <w:t xml:space="preserve">Inwestycje </w:t>
            </w:r>
            <w:r w:rsidR="00237894" w:rsidRPr="00957B06">
              <w:rPr>
                <w:rFonts w:cs="Calibri"/>
                <w:color w:val="000000"/>
                <w:spacing w:val="-2"/>
              </w:rPr>
              <w:t xml:space="preserve">realizowane </w:t>
            </w:r>
            <w:r w:rsidRPr="00957B06">
              <w:rPr>
                <w:rFonts w:cs="Calibri"/>
                <w:color w:val="000000"/>
                <w:spacing w:val="-2"/>
              </w:rPr>
              <w:t xml:space="preserve">w projektach, konkursach i innych działaniach ujętych w programie </w:t>
            </w:r>
            <w:r w:rsidR="00CF233B" w:rsidRPr="00957B06">
              <w:rPr>
                <w:rFonts w:cs="Calibri"/>
                <w:color w:val="000000"/>
                <w:spacing w:val="-2"/>
              </w:rPr>
              <w:t>do</w:t>
            </w:r>
            <w:r w:rsidRPr="00957B06">
              <w:rPr>
                <w:rFonts w:cs="Calibri"/>
                <w:color w:val="000000"/>
                <w:spacing w:val="-2"/>
              </w:rPr>
              <w:t xml:space="preserve">prowadziły do </w:t>
            </w:r>
            <w:r w:rsidR="00CF233B" w:rsidRPr="00957B06">
              <w:rPr>
                <w:rFonts w:cs="Calibri"/>
                <w:color w:val="000000"/>
                <w:spacing w:val="-2"/>
              </w:rPr>
              <w:t xml:space="preserve">realnej </w:t>
            </w:r>
            <w:r w:rsidRPr="00957B06">
              <w:rPr>
                <w:rFonts w:cs="Calibri"/>
                <w:color w:val="000000"/>
                <w:spacing w:val="-2"/>
              </w:rPr>
              <w:t xml:space="preserve">poprawy </w:t>
            </w:r>
            <w:r w:rsidR="007C6C5B" w:rsidRPr="00957B06">
              <w:rPr>
                <w:rFonts w:cs="Calibri"/>
                <w:color w:val="000000"/>
                <w:spacing w:val="-2"/>
              </w:rPr>
              <w:t>dostępności w podmiotach i przestrzeni</w:t>
            </w:r>
            <w:r w:rsidR="00E54AC4" w:rsidRPr="00957B06">
              <w:rPr>
                <w:rFonts w:cs="Calibri"/>
                <w:color w:val="000000"/>
                <w:spacing w:val="-2"/>
              </w:rPr>
              <w:t xml:space="preserve"> publiczn</w:t>
            </w:r>
            <w:r w:rsidR="007416E5" w:rsidRPr="00957B06">
              <w:rPr>
                <w:rFonts w:cs="Calibri"/>
                <w:color w:val="000000"/>
                <w:spacing w:val="-2"/>
              </w:rPr>
              <w:t>ej</w:t>
            </w:r>
            <w:r w:rsidR="00E54AC4" w:rsidRPr="00957B06">
              <w:rPr>
                <w:rFonts w:cs="Calibri"/>
                <w:color w:val="000000"/>
                <w:spacing w:val="-2"/>
              </w:rPr>
              <w:t xml:space="preserve"> w niemal co trzeciej gminie w Polsce. </w:t>
            </w:r>
          </w:p>
          <w:p w14:paraId="0624F915" w14:textId="1D90C9BF" w:rsidR="00D121B6" w:rsidRPr="00957B06" w:rsidRDefault="00EA0F78" w:rsidP="00395418">
            <w:pPr>
              <w:pStyle w:val="TableParagraph"/>
              <w:ind w:left="0" w:right="101"/>
              <w:rPr>
                <w:rFonts w:cs="Calibri"/>
                <w:color w:val="000000"/>
                <w:spacing w:val="-2"/>
              </w:rPr>
            </w:pPr>
            <w:r w:rsidRPr="00957B06">
              <w:rPr>
                <w:rFonts w:cs="Calibri"/>
                <w:color w:val="000000"/>
                <w:spacing w:val="-2"/>
              </w:rPr>
              <w:t xml:space="preserve">Zmiany poprawiające </w:t>
            </w:r>
            <w:r w:rsidR="00E37337" w:rsidRPr="00957B06">
              <w:rPr>
                <w:rFonts w:cs="Calibri"/>
                <w:color w:val="000000"/>
                <w:spacing w:val="-2"/>
              </w:rPr>
              <w:t>in</w:t>
            </w:r>
            <w:r w:rsidR="00125A87" w:rsidRPr="00957B06">
              <w:rPr>
                <w:rFonts w:cs="Calibri"/>
                <w:color w:val="000000"/>
                <w:spacing w:val="-2"/>
              </w:rPr>
              <w:t xml:space="preserve">frastrukturę </w:t>
            </w:r>
            <w:r w:rsidR="00E37337" w:rsidRPr="00957B06">
              <w:rPr>
                <w:rFonts w:cs="Calibri"/>
                <w:color w:val="000000"/>
                <w:spacing w:val="-2"/>
              </w:rPr>
              <w:t>i spo</w:t>
            </w:r>
            <w:r w:rsidR="00125A87" w:rsidRPr="00957B06">
              <w:rPr>
                <w:rFonts w:cs="Calibri"/>
                <w:color w:val="000000"/>
                <w:spacing w:val="-2"/>
              </w:rPr>
              <w:t>sób świadczenia</w:t>
            </w:r>
            <w:r w:rsidR="00E37337" w:rsidRPr="00957B06">
              <w:rPr>
                <w:rFonts w:cs="Calibri"/>
                <w:color w:val="000000"/>
                <w:spacing w:val="-2"/>
              </w:rPr>
              <w:t xml:space="preserve"> us</w:t>
            </w:r>
            <w:r w:rsidR="00125A87" w:rsidRPr="00957B06">
              <w:rPr>
                <w:rFonts w:cs="Calibri"/>
                <w:color w:val="000000"/>
                <w:spacing w:val="-2"/>
              </w:rPr>
              <w:t xml:space="preserve">ług </w:t>
            </w:r>
            <w:r w:rsidR="00E37337" w:rsidRPr="00957B06">
              <w:rPr>
                <w:rFonts w:cs="Calibri"/>
                <w:color w:val="000000"/>
                <w:spacing w:val="-2"/>
              </w:rPr>
              <w:t>lub realizacji zadań</w:t>
            </w:r>
            <w:r w:rsidR="005D7798" w:rsidRPr="00957B06">
              <w:rPr>
                <w:rFonts w:cs="Calibri"/>
                <w:color w:val="000000"/>
                <w:spacing w:val="-2"/>
              </w:rPr>
              <w:t xml:space="preserve"> przez dany podmiot były prowadzone</w:t>
            </w:r>
            <w:r w:rsidR="00125A87" w:rsidRPr="00957B06">
              <w:rPr>
                <w:rFonts w:cs="Calibri"/>
                <w:color w:val="000000"/>
                <w:spacing w:val="-2"/>
              </w:rPr>
              <w:t xml:space="preserve"> m.in. w </w:t>
            </w:r>
            <w:r w:rsidR="00E54AC4" w:rsidRPr="00957B06">
              <w:rPr>
                <w:rFonts w:cs="Calibri"/>
                <w:color w:val="000000"/>
                <w:spacing w:val="-2"/>
              </w:rPr>
              <w:t>szkoł</w:t>
            </w:r>
            <w:r w:rsidR="005D7798" w:rsidRPr="00957B06">
              <w:rPr>
                <w:rFonts w:cs="Calibri"/>
                <w:color w:val="000000"/>
                <w:spacing w:val="-2"/>
              </w:rPr>
              <w:t xml:space="preserve">ach </w:t>
            </w:r>
            <w:r w:rsidR="00E54AC4" w:rsidRPr="00957B06">
              <w:rPr>
                <w:rFonts w:cs="Calibri"/>
                <w:color w:val="000000"/>
                <w:spacing w:val="-2"/>
              </w:rPr>
              <w:t>i</w:t>
            </w:r>
            <w:r w:rsidR="005D7798" w:rsidRPr="00957B06">
              <w:rPr>
                <w:rFonts w:cs="Calibri"/>
                <w:color w:val="000000"/>
                <w:spacing w:val="-2"/>
              </w:rPr>
              <w:t xml:space="preserve"> na </w:t>
            </w:r>
            <w:r w:rsidR="00E54AC4" w:rsidRPr="00957B06">
              <w:rPr>
                <w:rFonts w:cs="Calibri"/>
                <w:color w:val="000000"/>
                <w:spacing w:val="-2"/>
              </w:rPr>
              <w:t>uczeln</w:t>
            </w:r>
            <w:r w:rsidR="005D7798" w:rsidRPr="00957B06">
              <w:rPr>
                <w:rFonts w:cs="Calibri"/>
                <w:color w:val="000000"/>
                <w:spacing w:val="-2"/>
              </w:rPr>
              <w:t xml:space="preserve">iach </w:t>
            </w:r>
            <w:r w:rsidR="00E54AC4" w:rsidRPr="00957B06">
              <w:rPr>
                <w:rFonts w:cs="Calibri"/>
                <w:color w:val="000000"/>
                <w:spacing w:val="-2"/>
              </w:rPr>
              <w:t>(</w:t>
            </w:r>
            <w:r w:rsidR="00630D39" w:rsidRPr="00957B06">
              <w:rPr>
                <w:rFonts w:cs="Calibri"/>
                <w:color w:val="000000"/>
                <w:spacing w:val="-2"/>
              </w:rPr>
              <w:t>blisko 800</w:t>
            </w:r>
            <w:r w:rsidR="00E54AC4" w:rsidRPr="00957B06">
              <w:rPr>
                <w:rFonts w:cs="Calibri"/>
                <w:color w:val="000000"/>
                <w:spacing w:val="-2"/>
              </w:rPr>
              <w:t xml:space="preserve"> placówek), instytucj</w:t>
            </w:r>
            <w:r w:rsidR="005D7798" w:rsidRPr="00957B06">
              <w:rPr>
                <w:rFonts w:cs="Calibri"/>
                <w:color w:val="000000"/>
                <w:spacing w:val="-2"/>
              </w:rPr>
              <w:t xml:space="preserve">ach </w:t>
            </w:r>
            <w:r w:rsidR="00E54AC4" w:rsidRPr="00957B06">
              <w:rPr>
                <w:rFonts w:cs="Calibri"/>
                <w:color w:val="000000"/>
                <w:spacing w:val="-2"/>
              </w:rPr>
              <w:t xml:space="preserve">kultury (ponad </w:t>
            </w:r>
            <w:r w:rsidR="00630D39" w:rsidRPr="00957B06">
              <w:rPr>
                <w:rFonts w:cs="Calibri"/>
                <w:color w:val="000000"/>
                <w:spacing w:val="-2"/>
              </w:rPr>
              <w:t>70</w:t>
            </w:r>
            <w:r w:rsidR="00E54AC4" w:rsidRPr="00957B06">
              <w:rPr>
                <w:rFonts w:cs="Calibri"/>
                <w:color w:val="000000"/>
                <w:spacing w:val="-2"/>
              </w:rPr>
              <w:t>0</w:t>
            </w:r>
            <w:r w:rsidR="00630D39" w:rsidRPr="00957B06">
              <w:rPr>
                <w:rFonts w:cs="Calibri"/>
                <w:color w:val="000000"/>
                <w:spacing w:val="-2"/>
              </w:rPr>
              <w:t xml:space="preserve"> </w:t>
            </w:r>
            <w:r w:rsidR="00DA1044" w:rsidRPr="00957B06">
              <w:rPr>
                <w:rFonts w:cs="Calibri"/>
                <w:color w:val="000000"/>
                <w:spacing w:val="-2"/>
              </w:rPr>
              <w:t>podmiotów</w:t>
            </w:r>
            <w:r w:rsidR="00E54AC4" w:rsidRPr="00957B06">
              <w:rPr>
                <w:rFonts w:cs="Calibri"/>
                <w:color w:val="000000"/>
                <w:spacing w:val="-2"/>
              </w:rPr>
              <w:t>), placówk</w:t>
            </w:r>
            <w:r w:rsidR="005D7798" w:rsidRPr="00957B06">
              <w:rPr>
                <w:rFonts w:cs="Calibri"/>
                <w:color w:val="000000"/>
                <w:spacing w:val="-2"/>
              </w:rPr>
              <w:t>ach ochrony</w:t>
            </w:r>
            <w:r w:rsidR="00E54AC4" w:rsidRPr="00957B06">
              <w:rPr>
                <w:rFonts w:cs="Calibri"/>
                <w:color w:val="000000"/>
                <w:spacing w:val="-2"/>
              </w:rPr>
              <w:t xml:space="preserve"> zdrowia (</w:t>
            </w:r>
            <w:r w:rsidR="00630D39" w:rsidRPr="00957B06">
              <w:rPr>
                <w:rFonts w:cs="Calibri"/>
                <w:color w:val="000000"/>
                <w:spacing w:val="-2"/>
              </w:rPr>
              <w:t xml:space="preserve">ponad </w:t>
            </w:r>
            <w:r w:rsidR="00E54AC4" w:rsidRPr="00957B06">
              <w:rPr>
                <w:rFonts w:cs="Calibri"/>
                <w:color w:val="000000"/>
                <w:spacing w:val="-2"/>
              </w:rPr>
              <w:t>400 placówek)</w:t>
            </w:r>
            <w:r w:rsidR="005D7798" w:rsidRPr="00957B06">
              <w:rPr>
                <w:rFonts w:cs="Calibri"/>
                <w:color w:val="000000"/>
                <w:spacing w:val="-2"/>
              </w:rPr>
              <w:t xml:space="preserve">. Inwestycje związane z dostępnością były </w:t>
            </w:r>
            <w:r w:rsidR="005D7798" w:rsidRPr="00957B06">
              <w:rPr>
                <w:rFonts w:cs="Calibri"/>
                <w:color w:val="000000"/>
                <w:spacing w:val="-2"/>
              </w:rPr>
              <w:lastRenderedPageBreak/>
              <w:t xml:space="preserve">podejmowane </w:t>
            </w:r>
            <w:r w:rsidR="00ED153F" w:rsidRPr="00957B06">
              <w:rPr>
                <w:rFonts w:cs="Calibri"/>
                <w:color w:val="000000"/>
                <w:spacing w:val="-2"/>
              </w:rPr>
              <w:t xml:space="preserve">np. </w:t>
            </w:r>
            <w:r w:rsidR="005D7798" w:rsidRPr="00957B06">
              <w:rPr>
                <w:rFonts w:cs="Calibri"/>
                <w:color w:val="000000"/>
                <w:spacing w:val="-2"/>
              </w:rPr>
              <w:t xml:space="preserve">w transporcie i dotyczyły </w:t>
            </w:r>
            <w:r w:rsidR="00E54AC4" w:rsidRPr="00957B06">
              <w:rPr>
                <w:rFonts w:cs="Calibri"/>
                <w:color w:val="000000"/>
                <w:spacing w:val="-2"/>
              </w:rPr>
              <w:t>dworc</w:t>
            </w:r>
            <w:r w:rsidR="005D7798" w:rsidRPr="00957B06">
              <w:rPr>
                <w:rFonts w:cs="Calibri"/>
                <w:color w:val="000000"/>
                <w:spacing w:val="-2"/>
              </w:rPr>
              <w:t xml:space="preserve">ów </w:t>
            </w:r>
            <w:r w:rsidR="00E54AC4" w:rsidRPr="00957B06">
              <w:rPr>
                <w:rFonts w:cs="Calibri"/>
                <w:color w:val="000000"/>
                <w:spacing w:val="-2"/>
              </w:rPr>
              <w:t>(</w:t>
            </w:r>
            <w:r w:rsidR="00630D39" w:rsidRPr="00957B06">
              <w:rPr>
                <w:rFonts w:cs="Calibri"/>
                <w:color w:val="000000"/>
                <w:spacing w:val="-2"/>
              </w:rPr>
              <w:t xml:space="preserve">blisko </w:t>
            </w:r>
            <w:r w:rsidR="00E54AC4" w:rsidRPr="00957B06">
              <w:rPr>
                <w:rFonts w:cs="Calibri"/>
                <w:color w:val="000000"/>
                <w:spacing w:val="-2"/>
              </w:rPr>
              <w:t>200 dworców, 1000 nowych i przebudowanych peronów i kolejowych) czy środk</w:t>
            </w:r>
            <w:r w:rsidR="005D7798" w:rsidRPr="00957B06">
              <w:rPr>
                <w:rFonts w:cs="Calibri"/>
                <w:color w:val="000000"/>
                <w:spacing w:val="-2"/>
              </w:rPr>
              <w:t>ów</w:t>
            </w:r>
            <w:r w:rsidR="00E54AC4" w:rsidRPr="00957B06">
              <w:rPr>
                <w:rFonts w:cs="Calibri"/>
                <w:color w:val="000000"/>
                <w:spacing w:val="-2"/>
              </w:rPr>
              <w:t xml:space="preserve"> transportu publicznego (1</w:t>
            </w:r>
            <w:r w:rsidR="00630D39" w:rsidRPr="00957B06">
              <w:rPr>
                <w:rFonts w:cs="Calibri"/>
                <w:color w:val="000000"/>
                <w:spacing w:val="-2"/>
              </w:rPr>
              <w:t>800</w:t>
            </w:r>
            <w:r w:rsidR="00E54AC4" w:rsidRPr="00957B06">
              <w:rPr>
                <w:rFonts w:cs="Calibri"/>
                <w:color w:val="000000"/>
                <w:spacing w:val="-2"/>
              </w:rPr>
              <w:t xml:space="preserve"> nowych autobusów, tramwajów i wagonów).</w:t>
            </w:r>
          </w:p>
          <w:p w14:paraId="7B5D99C9" w14:textId="2617C4EE" w:rsidR="003925A0" w:rsidRPr="00957B06" w:rsidRDefault="00395418" w:rsidP="00431B2B">
            <w:pPr>
              <w:pStyle w:val="TableParagraph"/>
              <w:widowControl/>
              <w:autoSpaceDE/>
              <w:autoSpaceDN/>
              <w:spacing w:after="160" w:line="259" w:lineRule="auto"/>
              <w:ind w:left="0" w:right="101"/>
              <w:contextualSpacing/>
              <w:rPr>
                <w:rFonts w:cs="Calibri"/>
                <w:color w:val="000000"/>
                <w:spacing w:val="-2"/>
              </w:rPr>
            </w:pPr>
            <w:r w:rsidRPr="00957B06">
              <w:rPr>
                <w:rFonts w:cs="Calibri"/>
                <w:color w:val="000000"/>
                <w:spacing w:val="-2"/>
              </w:rPr>
              <w:t xml:space="preserve"> </w:t>
            </w:r>
            <w:r w:rsidR="00237894" w:rsidRPr="00957B06">
              <w:rPr>
                <w:rFonts w:cs="Calibri"/>
                <w:color w:val="000000"/>
                <w:spacing w:val="-2"/>
              </w:rPr>
              <w:t>(2)</w:t>
            </w:r>
          </w:p>
          <w:p w14:paraId="65DEDB79" w14:textId="0F2399F2" w:rsidR="003925A0" w:rsidRPr="00957B06" w:rsidRDefault="007D4E1E" w:rsidP="005C7B6D">
            <w:pPr>
              <w:pStyle w:val="TableParagraph"/>
              <w:widowControl/>
              <w:autoSpaceDE/>
              <w:autoSpaceDN/>
              <w:spacing w:after="160" w:line="259" w:lineRule="auto"/>
              <w:ind w:left="0" w:right="101"/>
              <w:contextualSpacing/>
              <w:rPr>
                <w:rFonts w:cs="Calibri"/>
                <w:color w:val="000000"/>
                <w:spacing w:val="-2"/>
              </w:rPr>
            </w:pPr>
            <w:r w:rsidRPr="00957B06">
              <w:rPr>
                <w:rFonts w:cs="Calibri"/>
                <w:color w:val="000000"/>
                <w:spacing w:val="-2"/>
              </w:rPr>
              <w:t>Dzięki programowi uruchomiono trwale lub testowo r</w:t>
            </w:r>
            <w:r w:rsidR="00F63287" w:rsidRPr="00957B06">
              <w:rPr>
                <w:rFonts w:cs="Calibri"/>
                <w:color w:val="000000"/>
                <w:spacing w:val="-2"/>
              </w:rPr>
              <w:t>ó</w:t>
            </w:r>
            <w:r w:rsidRPr="00957B06">
              <w:rPr>
                <w:rFonts w:cs="Calibri"/>
                <w:color w:val="000000"/>
                <w:spacing w:val="-2"/>
              </w:rPr>
              <w:t xml:space="preserve">żnego rodzaju struktury i narzędzia wspierające osoby ze szczególnymi potrzebami w ich codziennym funkcjonowaniu </w:t>
            </w:r>
            <w:r w:rsidR="00ED153F" w:rsidRPr="00957B06">
              <w:rPr>
                <w:rFonts w:cs="Calibri"/>
                <w:color w:val="000000"/>
                <w:spacing w:val="-2"/>
              </w:rPr>
              <w:t>m.in.</w:t>
            </w:r>
            <w:r w:rsidRPr="00957B06">
              <w:rPr>
                <w:rFonts w:cs="Calibri"/>
                <w:color w:val="000000"/>
                <w:spacing w:val="-2"/>
              </w:rPr>
              <w:t xml:space="preserve"> </w:t>
            </w:r>
            <w:r w:rsidR="00FA5C3D" w:rsidRPr="00957B06">
              <w:rPr>
                <w:rFonts w:cs="Calibri"/>
                <w:color w:val="000000"/>
                <w:spacing w:val="-2"/>
              </w:rPr>
              <w:t>Centra informacyjno-doradcze</w:t>
            </w:r>
            <w:r w:rsidR="008B7774" w:rsidRPr="00957B06">
              <w:rPr>
                <w:rFonts w:cs="Calibri"/>
                <w:color w:val="000000"/>
                <w:spacing w:val="-2"/>
              </w:rPr>
              <w:t xml:space="preserve"> (16)</w:t>
            </w:r>
            <w:r w:rsidR="00FA5C3D" w:rsidRPr="00957B06">
              <w:rPr>
                <w:rFonts w:cs="Calibri"/>
                <w:color w:val="000000"/>
                <w:spacing w:val="-2"/>
              </w:rPr>
              <w:t>, Ośrodki Wsparcia i Testów</w:t>
            </w:r>
            <w:r w:rsidR="008B7774" w:rsidRPr="00957B06">
              <w:rPr>
                <w:rFonts w:cs="Calibri"/>
                <w:color w:val="000000"/>
                <w:spacing w:val="-2"/>
              </w:rPr>
              <w:t xml:space="preserve"> (19)</w:t>
            </w:r>
            <w:r w:rsidR="00ED153F" w:rsidRPr="00957B06">
              <w:rPr>
                <w:rFonts w:cs="Calibri"/>
                <w:color w:val="000000"/>
                <w:spacing w:val="-2"/>
              </w:rPr>
              <w:t>, Centra Wiedzy o Dostępności (1</w:t>
            </w:r>
            <w:r w:rsidR="00DA1044" w:rsidRPr="00957B06">
              <w:rPr>
                <w:rFonts w:cs="Calibri"/>
                <w:color w:val="000000"/>
                <w:spacing w:val="-2"/>
              </w:rPr>
              <w:t>3</w:t>
            </w:r>
            <w:r w:rsidR="00ED153F" w:rsidRPr="00957B06">
              <w:rPr>
                <w:rFonts w:cs="Calibri"/>
                <w:color w:val="000000"/>
                <w:spacing w:val="-2"/>
              </w:rPr>
              <w:t>)</w:t>
            </w:r>
            <w:r w:rsidRPr="00957B06">
              <w:rPr>
                <w:rFonts w:cs="Calibri"/>
                <w:color w:val="000000"/>
                <w:spacing w:val="-2"/>
              </w:rPr>
              <w:t xml:space="preserve">. </w:t>
            </w:r>
            <w:bookmarkStart w:id="0" w:name="_Hlk216273157"/>
            <w:r w:rsidR="00680722" w:rsidRPr="00957B06">
              <w:t>Dzięki realizacji programu na rzecz dostępności</w:t>
            </w:r>
            <w:r w:rsidR="00431B2B" w:rsidRPr="00957B06">
              <w:t xml:space="preserve"> do końca 2024 r. </w:t>
            </w:r>
            <w:r w:rsidR="00680722" w:rsidRPr="00957B06">
              <w:t xml:space="preserve">ponad 235 tys. osób skorzystało z usług społecznych i opiekuńczych na poziomie regionalnym. Formą wsparcia dedykowaną osobom ze szczególnymi potrzebami  ich opiekunom są także usługi asystenckie – w tracie realizacji programu ok. 900 jednostek samorządu terytorialnego coroczne oferuje usługi asystenckie dla </w:t>
            </w:r>
            <w:proofErr w:type="spellStart"/>
            <w:r w:rsidR="00680722" w:rsidRPr="00957B06">
              <w:t>OzN</w:t>
            </w:r>
            <w:proofErr w:type="spellEnd"/>
            <w:r w:rsidR="00680722" w:rsidRPr="00957B06">
              <w:t xml:space="preserve"> (dla ok 15-20 tys. osób), a dodatkowo w programie asystencji osobistej do 2024 r. ponad 120 tys. osób zostało objętych wsparciem w ramach usług opiekuńczych i asystenckich, zatrudniono prawie 3,5 tys. asystentów. Ponad 9,5 tys. objęto usługami mieszkalnictwa chronionego i wspomaganego, opracowano koncepcje wzorcowych mieszkań, dostosowanych do potrzeb osób z niepełnosprawnościami. Udzielono wsparcie dla JST na tworzenie centrów opiekuńczo – mieszkalnych i wspomaganych społeczności mieszkaniowych dla </w:t>
            </w:r>
            <w:proofErr w:type="spellStart"/>
            <w:r w:rsidR="00680722" w:rsidRPr="00957B06">
              <w:t>OzN</w:t>
            </w:r>
            <w:proofErr w:type="spellEnd"/>
            <w:r w:rsidR="00680722" w:rsidRPr="00957B06">
              <w:t xml:space="preserve"> – blisko 400 mln zł.</w:t>
            </w:r>
            <w:r w:rsidRPr="00957B06">
              <w:rPr>
                <w:rFonts w:cs="Calibri"/>
                <w:color w:val="000000"/>
                <w:spacing w:val="-2"/>
              </w:rPr>
              <w:t xml:space="preserve"> </w:t>
            </w:r>
            <w:bookmarkEnd w:id="0"/>
            <w:r w:rsidRPr="00957B06">
              <w:rPr>
                <w:rFonts w:cs="Calibri"/>
                <w:color w:val="000000"/>
                <w:spacing w:val="-2"/>
              </w:rPr>
              <w:t xml:space="preserve">W okresie 2019 - 2023 wprowadzono także transport indywidualny typu </w:t>
            </w:r>
            <w:proofErr w:type="spellStart"/>
            <w:r w:rsidRPr="00957B06">
              <w:rPr>
                <w:rFonts w:cs="Calibri"/>
                <w:color w:val="000000"/>
                <w:spacing w:val="-2"/>
              </w:rPr>
              <w:t>door</w:t>
            </w:r>
            <w:proofErr w:type="spellEnd"/>
            <w:r w:rsidRPr="00957B06">
              <w:rPr>
                <w:rFonts w:cs="Calibri"/>
                <w:color w:val="000000"/>
                <w:spacing w:val="-2"/>
              </w:rPr>
              <w:t>-to-</w:t>
            </w:r>
            <w:proofErr w:type="spellStart"/>
            <w:r w:rsidRPr="00957B06">
              <w:rPr>
                <w:rFonts w:cs="Calibri"/>
                <w:color w:val="000000"/>
                <w:spacing w:val="-2"/>
              </w:rPr>
              <w:t>door</w:t>
            </w:r>
            <w:proofErr w:type="spellEnd"/>
            <w:r w:rsidRPr="00957B06">
              <w:rPr>
                <w:rFonts w:cs="Calibri"/>
                <w:color w:val="000000"/>
                <w:spacing w:val="-2"/>
              </w:rPr>
              <w:t xml:space="preserve"> na poziomie lokalnym</w:t>
            </w:r>
            <w:r w:rsidR="00BF5FB9" w:rsidRPr="00957B06">
              <w:rPr>
                <w:rFonts w:cs="Calibri"/>
                <w:color w:val="000000"/>
                <w:spacing w:val="-2"/>
              </w:rPr>
              <w:t xml:space="preserve">, z którego skorzystało 18 000 osób w </w:t>
            </w:r>
            <w:r w:rsidRPr="00957B06">
              <w:rPr>
                <w:rFonts w:cs="Calibri"/>
                <w:color w:val="000000"/>
                <w:spacing w:val="-2"/>
              </w:rPr>
              <w:t>17</w:t>
            </w:r>
            <w:r w:rsidR="00BF5FB9" w:rsidRPr="00957B06">
              <w:rPr>
                <w:rFonts w:cs="Calibri"/>
                <w:color w:val="000000"/>
                <w:spacing w:val="-2"/>
              </w:rPr>
              <w:t>6</w:t>
            </w:r>
            <w:r w:rsidRPr="00957B06">
              <w:rPr>
                <w:rFonts w:cs="Calibri"/>
                <w:color w:val="000000"/>
                <w:spacing w:val="-2"/>
              </w:rPr>
              <w:t xml:space="preserve"> j</w:t>
            </w:r>
            <w:r w:rsidR="00BF5FB9" w:rsidRPr="00957B06">
              <w:rPr>
                <w:rFonts w:cs="Calibri"/>
                <w:color w:val="000000"/>
                <w:spacing w:val="-2"/>
              </w:rPr>
              <w:t>ednostkach samorządu terytorialnego.</w:t>
            </w:r>
            <w:r w:rsidRPr="00957B06">
              <w:rPr>
                <w:rFonts w:cs="Calibri"/>
                <w:color w:val="000000"/>
                <w:spacing w:val="-2"/>
              </w:rPr>
              <w:br/>
            </w:r>
            <w:r w:rsidR="00BC3856" w:rsidRPr="00957B06">
              <w:rPr>
                <w:rFonts w:cs="Calibri"/>
                <w:color w:val="000000"/>
                <w:spacing w:val="-2"/>
              </w:rPr>
              <w:t xml:space="preserve"> </w:t>
            </w:r>
            <w:r w:rsidR="00237894" w:rsidRPr="00957B06">
              <w:rPr>
                <w:rFonts w:cs="Calibri"/>
                <w:color w:val="000000"/>
                <w:spacing w:val="-2"/>
              </w:rPr>
              <w:t>(</w:t>
            </w:r>
            <w:r w:rsidR="00A07BEC" w:rsidRPr="00957B06">
              <w:rPr>
                <w:rFonts w:cs="Calibri"/>
                <w:color w:val="000000"/>
                <w:spacing w:val="-2"/>
              </w:rPr>
              <w:t>4</w:t>
            </w:r>
            <w:r w:rsidR="00237894" w:rsidRPr="00957B06">
              <w:rPr>
                <w:rFonts w:cs="Calibri"/>
                <w:color w:val="000000"/>
                <w:spacing w:val="-2"/>
              </w:rPr>
              <w:t>)</w:t>
            </w:r>
          </w:p>
          <w:p w14:paraId="58CE3004" w14:textId="77777777" w:rsidR="001A075B" w:rsidRDefault="008D2841" w:rsidP="005C7B6D">
            <w:pPr>
              <w:pStyle w:val="TableParagraph"/>
              <w:ind w:left="0" w:right="101"/>
              <w:rPr>
                <w:rFonts w:cs="Calibri"/>
                <w:color w:val="000000"/>
                <w:spacing w:val="-2"/>
              </w:rPr>
            </w:pPr>
            <w:r w:rsidRPr="00957B06">
              <w:rPr>
                <w:rFonts w:cs="Calibri"/>
                <w:color w:val="000000"/>
                <w:spacing w:val="-2"/>
              </w:rPr>
              <w:t xml:space="preserve">W 2017 r. współczynnik aktywności zawodowej </w:t>
            </w:r>
            <w:r w:rsidR="00957B06">
              <w:rPr>
                <w:rFonts w:cs="Calibri"/>
                <w:color w:val="000000"/>
                <w:spacing w:val="-2"/>
              </w:rPr>
              <w:t>(wg BAEL</w:t>
            </w:r>
            <w:r w:rsidR="00957B06">
              <w:rPr>
                <w:rStyle w:val="Odwoanieprzypisudolnego"/>
                <w:rFonts w:cs="Calibri"/>
                <w:color w:val="000000"/>
                <w:spacing w:val="-2"/>
              </w:rPr>
              <w:footnoteReference w:id="5"/>
            </w:r>
            <w:r w:rsidR="00957B06">
              <w:rPr>
                <w:rFonts w:cs="Calibri"/>
                <w:color w:val="000000"/>
                <w:spacing w:val="-2"/>
              </w:rPr>
              <w:t xml:space="preserve">) </w:t>
            </w:r>
            <w:r w:rsidRPr="00957B06">
              <w:rPr>
                <w:rFonts w:cs="Calibri"/>
                <w:color w:val="000000"/>
                <w:spacing w:val="-2"/>
              </w:rPr>
              <w:t>osób niepełnosprawnych w wieku 16</w:t>
            </w:r>
            <w:r w:rsidR="002410D3" w:rsidRPr="00957B06">
              <w:rPr>
                <w:rFonts w:cs="Calibri"/>
                <w:color w:val="000000"/>
                <w:spacing w:val="-2"/>
              </w:rPr>
              <w:t>-89</w:t>
            </w:r>
            <w:r w:rsidRPr="00957B06">
              <w:rPr>
                <w:rFonts w:cs="Calibri"/>
                <w:color w:val="000000"/>
                <w:spacing w:val="-2"/>
              </w:rPr>
              <w:t xml:space="preserve"> lat</w:t>
            </w:r>
            <w:r w:rsidR="003157BB" w:rsidRPr="00957B06">
              <w:rPr>
                <w:rFonts w:cs="Calibri"/>
                <w:color w:val="000000"/>
                <w:spacing w:val="-2"/>
              </w:rPr>
              <w:t xml:space="preserve"> </w:t>
            </w:r>
            <w:r w:rsidRPr="00957B06">
              <w:rPr>
                <w:rFonts w:cs="Calibri"/>
                <w:color w:val="000000"/>
                <w:spacing w:val="-2"/>
              </w:rPr>
              <w:t>wyniósł 17,</w:t>
            </w:r>
            <w:r w:rsidR="002410D3" w:rsidRPr="00957B06">
              <w:rPr>
                <w:rFonts w:cs="Calibri"/>
                <w:color w:val="000000"/>
                <w:spacing w:val="-2"/>
              </w:rPr>
              <w:t>4</w:t>
            </w:r>
            <w:r w:rsidRPr="00957B06">
              <w:rPr>
                <w:rFonts w:cs="Calibri"/>
                <w:color w:val="000000"/>
                <w:spacing w:val="-2"/>
              </w:rPr>
              <w:t>%, wskaźnik zatrudnienia</w:t>
            </w:r>
            <w:r w:rsidR="002410D3" w:rsidRPr="00957B06">
              <w:rPr>
                <w:rFonts w:cs="Calibri"/>
                <w:color w:val="000000"/>
                <w:spacing w:val="-2"/>
              </w:rPr>
              <w:t xml:space="preserve"> dla tej samej grupy wyniósł</w:t>
            </w:r>
            <w:r w:rsidRPr="00957B06">
              <w:rPr>
                <w:rFonts w:cs="Calibri"/>
                <w:color w:val="000000"/>
                <w:spacing w:val="-2"/>
              </w:rPr>
              <w:t xml:space="preserve"> 1</w:t>
            </w:r>
            <w:r w:rsidR="002410D3" w:rsidRPr="00957B06">
              <w:rPr>
                <w:rFonts w:cs="Calibri"/>
                <w:color w:val="000000"/>
                <w:spacing w:val="-2"/>
              </w:rPr>
              <w:t>5</w:t>
            </w:r>
            <w:r w:rsidRPr="00957B06">
              <w:rPr>
                <w:rFonts w:cs="Calibri"/>
                <w:color w:val="000000"/>
                <w:spacing w:val="-2"/>
              </w:rPr>
              <w:t>,</w:t>
            </w:r>
            <w:r w:rsidR="002410D3" w:rsidRPr="00957B06">
              <w:rPr>
                <w:rFonts w:cs="Calibri"/>
                <w:color w:val="000000"/>
                <w:spacing w:val="-2"/>
              </w:rPr>
              <w:t>9</w:t>
            </w:r>
            <w:r w:rsidRPr="00957B06">
              <w:rPr>
                <w:rFonts w:cs="Calibri"/>
                <w:color w:val="000000"/>
                <w:spacing w:val="-2"/>
              </w:rPr>
              <w:t>%, a stopa bezrobocia 8,</w:t>
            </w:r>
            <w:r w:rsidR="002410D3" w:rsidRPr="00957B06">
              <w:rPr>
                <w:rFonts w:cs="Calibri"/>
                <w:color w:val="000000"/>
                <w:spacing w:val="-2"/>
              </w:rPr>
              <w:t>6</w:t>
            </w:r>
            <w:r w:rsidRPr="00957B06">
              <w:rPr>
                <w:rFonts w:cs="Calibri"/>
                <w:color w:val="000000"/>
                <w:spacing w:val="-2"/>
              </w:rPr>
              <w:t>%</w:t>
            </w:r>
            <w:r w:rsidR="00AE4003" w:rsidRPr="00957B06">
              <w:rPr>
                <w:rFonts w:cs="Calibri"/>
                <w:color w:val="000000"/>
                <w:spacing w:val="-2"/>
              </w:rPr>
              <w:t xml:space="preserve"> (</w:t>
            </w:r>
            <w:r w:rsidR="001A075B">
              <w:rPr>
                <w:rFonts w:cs="Calibri"/>
                <w:color w:val="000000"/>
                <w:spacing w:val="-2"/>
              </w:rPr>
              <w:t>dane</w:t>
            </w:r>
            <w:r w:rsidR="002410D3" w:rsidRPr="00957B06">
              <w:rPr>
                <w:rFonts w:cs="Calibri"/>
                <w:color w:val="000000"/>
                <w:spacing w:val="-2"/>
              </w:rPr>
              <w:t xml:space="preserve"> dostępn</w:t>
            </w:r>
            <w:r w:rsidR="001A075B">
              <w:rPr>
                <w:rFonts w:cs="Calibri"/>
                <w:color w:val="000000"/>
                <w:spacing w:val="-2"/>
              </w:rPr>
              <w:t>e</w:t>
            </w:r>
            <w:r w:rsidR="002410D3" w:rsidRPr="00957B06">
              <w:rPr>
                <w:rFonts w:cs="Calibri"/>
                <w:color w:val="000000"/>
                <w:spacing w:val="-2"/>
              </w:rPr>
              <w:t xml:space="preserve"> na Platformie SDG: </w:t>
            </w:r>
            <w:hyperlink r:id="rId12" w:history="1">
              <w:r w:rsidR="002410D3" w:rsidRPr="00957B06">
                <w:rPr>
                  <w:rStyle w:val="Hipercze"/>
                  <w:rFonts w:cs="Calibri"/>
                  <w:spacing w:val="-2"/>
                </w:rPr>
                <w:t>https://sdg.gov.pl/statistics_glob/8-5-2/</w:t>
              </w:r>
            </w:hyperlink>
            <w:r w:rsidR="002410D3" w:rsidRPr="00467BD3">
              <w:rPr>
                <w:rFonts w:cs="Calibri"/>
                <w:color w:val="000000"/>
                <w:spacing w:val="-2"/>
              </w:rPr>
              <w:t>). W</w:t>
            </w:r>
            <w:r w:rsidR="006E6226" w:rsidRPr="00957B06">
              <w:rPr>
                <w:rFonts w:cs="Calibri"/>
                <w:color w:val="000000"/>
                <w:spacing w:val="-2"/>
              </w:rPr>
              <w:t xml:space="preserve"> </w:t>
            </w:r>
            <w:r w:rsidR="007A74BC" w:rsidRPr="00957B06">
              <w:rPr>
                <w:rFonts w:cs="Calibri"/>
                <w:color w:val="000000"/>
                <w:spacing w:val="-2"/>
              </w:rPr>
              <w:t>I</w:t>
            </w:r>
            <w:r w:rsidR="002410D3" w:rsidRPr="00957B06">
              <w:rPr>
                <w:rFonts w:cs="Calibri"/>
                <w:color w:val="000000"/>
                <w:spacing w:val="-2"/>
              </w:rPr>
              <w:t>II</w:t>
            </w:r>
            <w:r w:rsidR="007A74BC" w:rsidRPr="00957B06">
              <w:rPr>
                <w:rFonts w:cs="Calibri"/>
                <w:color w:val="000000"/>
                <w:spacing w:val="-2"/>
              </w:rPr>
              <w:t xml:space="preserve"> kw. </w:t>
            </w:r>
            <w:r w:rsidR="006E6226" w:rsidRPr="00957B06">
              <w:rPr>
                <w:rFonts w:cs="Calibri"/>
                <w:color w:val="000000"/>
                <w:spacing w:val="-2"/>
              </w:rPr>
              <w:t>202</w:t>
            </w:r>
            <w:r w:rsidR="007A74BC" w:rsidRPr="00957B06">
              <w:rPr>
                <w:rFonts w:cs="Calibri"/>
                <w:color w:val="000000"/>
                <w:spacing w:val="-2"/>
              </w:rPr>
              <w:t>5</w:t>
            </w:r>
            <w:r w:rsidR="006E6226" w:rsidRPr="00957B06">
              <w:rPr>
                <w:rFonts w:cs="Calibri"/>
                <w:color w:val="000000"/>
                <w:spacing w:val="-2"/>
              </w:rPr>
              <w:t xml:space="preserve"> r</w:t>
            </w:r>
            <w:r w:rsidR="00AE2C85" w:rsidRPr="00957B06">
              <w:rPr>
                <w:rFonts w:cs="Calibri"/>
                <w:color w:val="000000"/>
                <w:spacing w:val="-2"/>
              </w:rPr>
              <w:t>.</w:t>
            </w:r>
            <w:r w:rsidR="006E6226" w:rsidRPr="00957B06">
              <w:rPr>
                <w:rFonts w:cs="Calibri"/>
                <w:color w:val="000000"/>
                <w:spacing w:val="-2"/>
              </w:rPr>
              <w:t xml:space="preserve"> współczynnik aktywności zawodowej osób niepełnosprawnych</w:t>
            </w:r>
            <w:r w:rsidR="00AE4003" w:rsidRPr="00957B06">
              <w:rPr>
                <w:rFonts w:cs="Calibri"/>
                <w:color w:val="000000"/>
                <w:spacing w:val="-2"/>
              </w:rPr>
              <w:t xml:space="preserve"> </w:t>
            </w:r>
            <w:r w:rsidR="006E6226" w:rsidRPr="00957B06">
              <w:rPr>
                <w:rFonts w:cs="Calibri"/>
                <w:color w:val="000000"/>
                <w:spacing w:val="-2"/>
              </w:rPr>
              <w:t xml:space="preserve">w wieku </w:t>
            </w:r>
            <w:r w:rsidR="0088246F" w:rsidRPr="00957B06">
              <w:rPr>
                <w:rFonts w:cs="Calibri"/>
                <w:color w:val="000000"/>
                <w:spacing w:val="-2"/>
              </w:rPr>
              <w:t xml:space="preserve">16-89 lat </w:t>
            </w:r>
            <w:r w:rsidR="006E6226" w:rsidRPr="00957B06">
              <w:rPr>
                <w:rFonts w:cs="Calibri"/>
                <w:color w:val="000000"/>
                <w:spacing w:val="-2"/>
              </w:rPr>
              <w:t xml:space="preserve">uplasował się na poziomie </w:t>
            </w:r>
            <w:r w:rsidR="007A74BC" w:rsidRPr="00957B06">
              <w:rPr>
                <w:rFonts w:cs="Calibri"/>
                <w:color w:val="000000"/>
                <w:spacing w:val="-2"/>
              </w:rPr>
              <w:t>1</w:t>
            </w:r>
            <w:r w:rsidR="002410D3" w:rsidRPr="00957B06">
              <w:rPr>
                <w:rFonts w:cs="Calibri"/>
                <w:color w:val="000000"/>
                <w:spacing w:val="-2"/>
              </w:rPr>
              <w:t>9</w:t>
            </w:r>
            <w:r w:rsidR="007A74BC" w:rsidRPr="00957B06">
              <w:rPr>
                <w:rFonts w:cs="Calibri"/>
                <w:color w:val="000000"/>
                <w:spacing w:val="-2"/>
              </w:rPr>
              <w:t>,</w:t>
            </w:r>
            <w:r w:rsidR="002410D3" w:rsidRPr="00957B06">
              <w:rPr>
                <w:rFonts w:cs="Calibri"/>
                <w:color w:val="000000"/>
                <w:spacing w:val="-2"/>
              </w:rPr>
              <w:t>3</w:t>
            </w:r>
            <w:r w:rsidR="006E6226" w:rsidRPr="00957B06">
              <w:rPr>
                <w:rFonts w:cs="Calibri"/>
                <w:color w:val="000000"/>
                <w:spacing w:val="-2"/>
              </w:rPr>
              <w:t>%</w:t>
            </w:r>
            <w:r w:rsidR="007A74BC" w:rsidRPr="00957B06">
              <w:rPr>
                <w:rFonts w:cs="Calibri"/>
                <w:color w:val="000000"/>
                <w:spacing w:val="-2"/>
              </w:rPr>
              <w:t>, wskaźnik zatrudnienia 1</w:t>
            </w:r>
            <w:r w:rsidR="002410D3" w:rsidRPr="00957B06">
              <w:rPr>
                <w:rFonts w:cs="Calibri"/>
                <w:color w:val="000000"/>
                <w:spacing w:val="-2"/>
              </w:rPr>
              <w:t>8</w:t>
            </w:r>
            <w:r w:rsidR="007A74BC" w:rsidRPr="00957B06">
              <w:rPr>
                <w:rFonts w:cs="Calibri"/>
                <w:color w:val="000000"/>
                <w:spacing w:val="-2"/>
              </w:rPr>
              <w:t>,</w:t>
            </w:r>
            <w:r w:rsidR="002410D3" w:rsidRPr="00957B06">
              <w:rPr>
                <w:rFonts w:cs="Calibri"/>
                <w:color w:val="000000"/>
                <w:spacing w:val="-2"/>
              </w:rPr>
              <w:t>0</w:t>
            </w:r>
            <w:r w:rsidR="007A74BC" w:rsidRPr="00957B06">
              <w:rPr>
                <w:rFonts w:cs="Calibri"/>
                <w:color w:val="000000"/>
                <w:spacing w:val="-2"/>
              </w:rPr>
              <w:t>%</w:t>
            </w:r>
            <w:r w:rsidR="001A075B">
              <w:rPr>
                <w:rFonts w:cs="Calibri"/>
                <w:color w:val="000000"/>
                <w:spacing w:val="-2"/>
              </w:rPr>
              <w:t xml:space="preserve">, a stopa bezrobocia </w:t>
            </w:r>
            <w:r w:rsidR="006E6226" w:rsidRPr="00957B06">
              <w:rPr>
                <w:rFonts w:cs="Calibri"/>
                <w:color w:val="000000"/>
                <w:spacing w:val="-2"/>
              </w:rPr>
              <w:t xml:space="preserve">– </w:t>
            </w:r>
            <w:r w:rsidR="002410D3" w:rsidRPr="00957B06">
              <w:rPr>
                <w:rFonts w:cs="Calibri"/>
                <w:color w:val="000000"/>
                <w:spacing w:val="-2"/>
              </w:rPr>
              <w:t>6</w:t>
            </w:r>
            <w:r w:rsidR="006E6226" w:rsidRPr="00957B06">
              <w:rPr>
                <w:rFonts w:cs="Calibri"/>
                <w:color w:val="000000"/>
                <w:spacing w:val="-2"/>
              </w:rPr>
              <w:t>,</w:t>
            </w:r>
            <w:r w:rsidR="002410D3" w:rsidRPr="00957B06">
              <w:rPr>
                <w:rFonts w:cs="Calibri"/>
                <w:color w:val="000000"/>
                <w:spacing w:val="-2"/>
              </w:rPr>
              <w:t>8</w:t>
            </w:r>
            <w:r w:rsidR="006E6226" w:rsidRPr="00957B06">
              <w:rPr>
                <w:rFonts w:cs="Calibri"/>
                <w:color w:val="000000"/>
                <w:spacing w:val="-2"/>
              </w:rPr>
              <w:t>%</w:t>
            </w:r>
            <w:r w:rsidR="00421E33" w:rsidRPr="00957B06">
              <w:rPr>
                <w:rFonts w:cs="Calibri"/>
                <w:color w:val="000000"/>
                <w:spacing w:val="-2"/>
              </w:rPr>
              <w:t xml:space="preserve"> </w:t>
            </w:r>
            <w:r w:rsidR="00DA769A" w:rsidRPr="00957B06">
              <w:rPr>
                <w:rFonts w:cs="Calibri"/>
                <w:color w:val="000000"/>
                <w:spacing w:val="-2"/>
              </w:rPr>
              <w:t>(</w:t>
            </w:r>
            <w:r w:rsidR="002410D3" w:rsidRPr="00957B06">
              <w:rPr>
                <w:rFonts w:cs="Calibri"/>
                <w:color w:val="000000"/>
                <w:spacing w:val="-2"/>
              </w:rPr>
              <w:t xml:space="preserve">wg danych dostępnych na </w:t>
            </w:r>
            <w:hyperlink r:id="rId13" w:history="1">
              <w:r w:rsidR="002410D3" w:rsidRPr="00957B06">
                <w:rPr>
                  <w:rStyle w:val="Hipercze"/>
                </w:rPr>
                <w:t>https://stat.gov.pl/obszary-tematyczne/rynek-pracy/pracujacy-bezrobotni-bierni-zawodowo-wg-bael/aktywnosc-ekonomiczna-ludnosci-polski-3-kwartal-2025-r-,4,60.html</w:t>
              </w:r>
            </w:hyperlink>
            <w:r w:rsidR="00DA769A" w:rsidRPr="00467BD3">
              <w:rPr>
                <w:rFonts w:cs="Calibri"/>
                <w:color w:val="000000"/>
                <w:spacing w:val="-2"/>
              </w:rPr>
              <w:t>).</w:t>
            </w:r>
            <w:r w:rsidR="00571357" w:rsidRPr="00957B06">
              <w:rPr>
                <w:rFonts w:cs="Calibri"/>
                <w:color w:val="000000"/>
                <w:spacing w:val="-2"/>
              </w:rPr>
              <w:t xml:space="preserve"> </w:t>
            </w:r>
          </w:p>
          <w:p w14:paraId="661B8EF1" w14:textId="1F15EA38" w:rsidR="0026342F" w:rsidRPr="00957B06" w:rsidRDefault="00571357" w:rsidP="005C7B6D">
            <w:pPr>
              <w:pStyle w:val="TableParagraph"/>
              <w:ind w:left="0" w:right="101"/>
              <w:rPr>
                <w:rFonts w:cs="Calibri"/>
                <w:color w:val="000000"/>
                <w:spacing w:val="-2"/>
              </w:rPr>
            </w:pPr>
            <w:r w:rsidRPr="00957B06">
              <w:rPr>
                <w:rFonts w:cs="Calibri"/>
                <w:color w:val="000000"/>
                <w:spacing w:val="-2"/>
              </w:rPr>
              <w:t>Dla osób</w:t>
            </w:r>
            <w:r w:rsidR="0026342F" w:rsidRPr="00957B06">
              <w:rPr>
                <w:rFonts w:cs="Calibri"/>
                <w:color w:val="000000"/>
                <w:spacing w:val="-2"/>
              </w:rPr>
              <w:t xml:space="preserve"> z niepełnosprawnościami</w:t>
            </w:r>
            <w:r w:rsidRPr="00957B06">
              <w:rPr>
                <w:rFonts w:cs="Calibri"/>
                <w:color w:val="000000"/>
                <w:spacing w:val="-2"/>
              </w:rPr>
              <w:t xml:space="preserve"> w wieku produkcyjnym 18-59/64 wartości te</w:t>
            </w:r>
            <w:r w:rsidR="001A075B">
              <w:rPr>
                <w:rFonts w:cs="Calibri"/>
                <w:color w:val="000000"/>
                <w:spacing w:val="-2"/>
              </w:rPr>
              <w:t xml:space="preserve"> wyniosły</w:t>
            </w:r>
            <w:r w:rsidR="0026342F" w:rsidRPr="00957B06">
              <w:rPr>
                <w:rFonts w:cs="Calibri"/>
                <w:color w:val="000000"/>
                <w:spacing w:val="-2"/>
              </w:rPr>
              <w:t>:</w:t>
            </w:r>
          </w:p>
          <w:p w14:paraId="37C5AA29" w14:textId="26C72EA7" w:rsidR="0026342F" w:rsidRPr="00957B06" w:rsidRDefault="0026342F" w:rsidP="005C7B6D">
            <w:pPr>
              <w:pStyle w:val="TableParagraph"/>
              <w:ind w:left="0" w:right="101"/>
              <w:rPr>
                <w:rFonts w:cs="Calibri"/>
                <w:color w:val="000000"/>
                <w:spacing w:val="-2"/>
              </w:rPr>
            </w:pPr>
            <w:r w:rsidRPr="00957B06">
              <w:rPr>
                <w:rFonts w:cs="Calibri"/>
                <w:color w:val="000000"/>
                <w:spacing w:val="-2"/>
              </w:rPr>
              <w:t>* na koniec 2017 roku: współczynnik aktywności zawodowej 27,7%, wskaźnik zatrudnienia 25,3% oraz stopa bezrobocia 8,6%</w:t>
            </w:r>
          </w:p>
          <w:p w14:paraId="786DBC68" w14:textId="77777777" w:rsidR="001A075B" w:rsidRDefault="0026342F" w:rsidP="005C7B6D">
            <w:pPr>
              <w:pStyle w:val="TableParagraph"/>
              <w:ind w:left="0" w:right="101"/>
              <w:rPr>
                <w:rFonts w:cs="Calibri"/>
                <w:color w:val="000000"/>
                <w:spacing w:val="-2"/>
              </w:rPr>
            </w:pPr>
            <w:r w:rsidRPr="00957B06">
              <w:rPr>
                <w:rFonts w:cs="Calibri"/>
                <w:color w:val="000000"/>
                <w:spacing w:val="-2"/>
              </w:rPr>
              <w:t xml:space="preserve">* w </w:t>
            </w:r>
            <w:r w:rsidR="00571357" w:rsidRPr="00957B06">
              <w:rPr>
                <w:rFonts w:cs="Calibri"/>
                <w:color w:val="000000"/>
                <w:spacing w:val="-2"/>
              </w:rPr>
              <w:t>III kw. 2025 r.: wskaźnik aktywności zawodowej 36,2%, wskaźnik zatrudnienia 33,4% oraz stopa bezrobocia 7,7%.</w:t>
            </w:r>
            <w:r w:rsidR="00FE59BC" w:rsidRPr="00957B06">
              <w:rPr>
                <w:rFonts w:cs="Calibri"/>
                <w:color w:val="000000"/>
                <w:spacing w:val="-2"/>
              </w:rPr>
              <w:t xml:space="preserve"> (wg danych dostępnych na platformie </w:t>
            </w:r>
            <w:hyperlink r:id="rId14" w:history="1">
              <w:r w:rsidR="00FE59BC" w:rsidRPr="00957B06">
                <w:rPr>
                  <w:rStyle w:val="Hipercze"/>
                  <w:rFonts w:cs="Calibri"/>
                  <w:spacing w:val="-2"/>
                </w:rPr>
                <w:t>https://niepelnosprawni.gov.pl/baza-wiedzy/niepelnosprawnosc-w-liczbach/rynek-pracy/2155-2/</w:t>
              </w:r>
            </w:hyperlink>
            <w:r w:rsidR="00FE59BC" w:rsidRPr="00467BD3">
              <w:rPr>
                <w:rFonts w:cs="Calibri"/>
                <w:color w:val="000000"/>
                <w:spacing w:val="-2"/>
              </w:rPr>
              <w:t>).</w:t>
            </w:r>
            <w:r w:rsidR="00AE2C85" w:rsidRPr="00957B06">
              <w:rPr>
                <w:rFonts w:cs="Calibri"/>
                <w:color w:val="000000"/>
                <w:spacing w:val="-2"/>
              </w:rPr>
              <w:t xml:space="preserve"> </w:t>
            </w:r>
          </w:p>
          <w:p w14:paraId="23267A3A" w14:textId="7DEFF96F" w:rsidR="00B22ECC" w:rsidRPr="00957B06" w:rsidRDefault="001A075B" w:rsidP="005C7B6D">
            <w:pPr>
              <w:pStyle w:val="TableParagraph"/>
              <w:ind w:left="0" w:right="101"/>
              <w:rPr>
                <w:rFonts w:cs="Calibri"/>
                <w:color w:val="000000"/>
                <w:spacing w:val="-2"/>
              </w:rPr>
            </w:pPr>
            <w:r>
              <w:rPr>
                <w:rFonts w:cs="Calibri"/>
                <w:color w:val="000000"/>
                <w:spacing w:val="-2"/>
              </w:rPr>
              <w:t>O ile zatem można zaobserwować, że n</w:t>
            </w:r>
            <w:r w:rsidR="00AE2C85" w:rsidRPr="00467BD3">
              <w:rPr>
                <w:rFonts w:cs="Calibri"/>
                <w:color w:val="000000"/>
                <w:spacing w:val="-2"/>
              </w:rPr>
              <w:t xml:space="preserve">a przestrzeni lat </w:t>
            </w:r>
            <w:r w:rsidR="00AE2C85" w:rsidRPr="00957B06">
              <w:rPr>
                <w:rFonts w:cs="Calibri"/>
                <w:color w:val="000000"/>
                <w:spacing w:val="-2"/>
              </w:rPr>
              <w:t>wdrażania ustawy poprawił</w:t>
            </w:r>
            <w:r w:rsidR="0026342F" w:rsidRPr="00957B06">
              <w:rPr>
                <w:rFonts w:cs="Calibri"/>
                <w:color w:val="000000"/>
                <w:spacing w:val="-2"/>
              </w:rPr>
              <w:t xml:space="preserve">y </w:t>
            </w:r>
            <w:r w:rsidR="00AE2C85" w:rsidRPr="00957B06">
              <w:rPr>
                <w:rFonts w:cs="Calibri"/>
                <w:color w:val="000000"/>
                <w:spacing w:val="-2"/>
              </w:rPr>
              <w:t xml:space="preserve"> się</w:t>
            </w:r>
            <w:r w:rsidR="0026342F" w:rsidRPr="00957B06">
              <w:rPr>
                <w:rFonts w:cs="Calibri"/>
                <w:color w:val="000000"/>
                <w:spacing w:val="-2"/>
              </w:rPr>
              <w:t xml:space="preserve"> kluczowe</w:t>
            </w:r>
            <w:r w:rsidR="00AE2C85" w:rsidRPr="00957B06">
              <w:rPr>
                <w:rFonts w:cs="Calibri"/>
                <w:color w:val="000000"/>
                <w:spacing w:val="-2"/>
              </w:rPr>
              <w:t xml:space="preserve"> wskaźnik</w:t>
            </w:r>
            <w:r w:rsidR="0026342F" w:rsidRPr="00957B06">
              <w:rPr>
                <w:rFonts w:cs="Calibri"/>
                <w:color w:val="000000"/>
                <w:spacing w:val="-2"/>
              </w:rPr>
              <w:t>i</w:t>
            </w:r>
            <w:r w:rsidR="00AE2C85" w:rsidRPr="00957B06">
              <w:rPr>
                <w:rFonts w:cs="Calibri"/>
                <w:color w:val="000000"/>
                <w:spacing w:val="-2"/>
              </w:rPr>
              <w:t xml:space="preserve"> </w:t>
            </w:r>
            <w:r w:rsidR="0026342F" w:rsidRPr="00957B06">
              <w:rPr>
                <w:rFonts w:cs="Calibri"/>
                <w:color w:val="000000"/>
                <w:spacing w:val="-2"/>
              </w:rPr>
              <w:t xml:space="preserve">aktywności </w:t>
            </w:r>
            <w:r>
              <w:rPr>
                <w:rFonts w:cs="Calibri"/>
                <w:color w:val="000000"/>
                <w:spacing w:val="-2"/>
              </w:rPr>
              <w:t xml:space="preserve">zawodowej </w:t>
            </w:r>
            <w:r w:rsidR="0026342F" w:rsidRPr="00957B06">
              <w:rPr>
                <w:rFonts w:cs="Calibri"/>
                <w:color w:val="000000"/>
                <w:spacing w:val="-2"/>
              </w:rPr>
              <w:lastRenderedPageBreak/>
              <w:t>osób z niepełnosprawnościami</w:t>
            </w:r>
            <w:r w:rsidR="00FE59BC" w:rsidRPr="00467BD3">
              <w:rPr>
                <w:rStyle w:val="Odwoanieprzypisudolnego"/>
                <w:rFonts w:cs="Calibri"/>
                <w:color w:val="000000"/>
                <w:spacing w:val="-2"/>
              </w:rPr>
              <w:footnoteReference w:id="6"/>
            </w:r>
            <w:r>
              <w:rPr>
                <w:rFonts w:cs="Calibri"/>
                <w:color w:val="000000"/>
                <w:spacing w:val="-2"/>
              </w:rPr>
              <w:t xml:space="preserve">, o tyle </w:t>
            </w:r>
            <w:r w:rsidR="00AE2C85" w:rsidRPr="00467BD3">
              <w:rPr>
                <w:rFonts w:cs="Calibri"/>
                <w:color w:val="000000"/>
                <w:spacing w:val="-2"/>
              </w:rPr>
              <w:t xml:space="preserve"> </w:t>
            </w:r>
            <w:r>
              <w:rPr>
                <w:rFonts w:cs="Calibri"/>
                <w:color w:val="000000"/>
                <w:spacing w:val="-2"/>
              </w:rPr>
              <w:t>n</w:t>
            </w:r>
            <w:r w:rsidR="00A07BEC" w:rsidRPr="00957B06">
              <w:rPr>
                <w:rFonts w:cs="Calibri"/>
                <w:color w:val="000000"/>
                <w:spacing w:val="-2"/>
              </w:rPr>
              <w:t>ie były</w:t>
            </w:r>
            <w:r w:rsidR="005C1634" w:rsidRPr="00957B06">
              <w:rPr>
                <w:rFonts w:cs="Calibri"/>
                <w:color w:val="000000"/>
                <w:spacing w:val="-2"/>
              </w:rPr>
              <w:t xml:space="preserve"> </w:t>
            </w:r>
            <w:r w:rsidR="00A07BEC" w:rsidRPr="00957B06">
              <w:rPr>
                <w:rFonts w:cs="Calibri"/>
                <w:color w:val="000000"/>
                <w:spacing w:val="-2"/>
              </w:rPr>
              <w:t xml:space="preserve">prowadzone badania potwierdzające jaki </w:t>
            </w:r>
            <w:r w:rsidR="00AE2C85" w:rsidRPr="00957B06">
              <w:rPr>
                <w:rFonts w:cs="Calibri"/>
                <w:color w:val="000000"/>
                <w:spacing w:val="-2"/>
              </w:rPr>
              <w:t xml:space="preserve">wpływ </w:t>
            </w:r>
            <w:r w:rsidR="00A07BEC" w:rsidRPr="00957B06">
              <w:rPr>
                <w:rFonts w:cs="Calibri"/>
                <w:color w:val="000000"/>
                <w:spacing w:val="-2"/>
              </w:rPr>
              <w:t xml:space="preserve">na </w:t>
            </w:r>
            <w:r>
              <w:rPr>
                <w:rFonts w:cs="Calibri"/>
                <w:color w:val="000000"/>
                <w:spacing w:val="-2"/>
              </w:rPr>
              <w:t xml:space="preserve">tą </w:t>
            </w:r>
            <w:r w:rsidR="00A07BEC" w:rsidRPr="00957B06">
              <w:rPr>
                <w:rFonts w:cs="Calibri"/>
                <w:color w:val="000000"/>
                <w:spacing w:val="-2"/>
              </w:rPr>
              <w:t xml:space="preserve">poprawę </w:t>
            </w:r>
            <w:r>
              <w:rPr>
                <w:rFonts w:cs="Calibri"/>
                <w:color w:val="000000"/>
                <w:spacing w:val="-2"/>
              </w:rPr>
              <w:t xml:space="preserve"> </w:t>
            </w:r>
            <w:r w:rsidR="00A07BEC" w:rsidRPr="00957B06">
              <w:rPr>
                <w:rFonts w:cs="Calibri"/>
                <w:color w:val="000000"/>
                <w:spacing w:val="-2"/>
              </w:rPr>
              <w:t>miał</w:t>
            </w:r>
            <w:r w:rsidR="00ED153F" w:rsidRPr="00957B06">
              <w:rPr>
                <w:rFonts w:cs="Calibri"/>
                <w:color w:val="000000"/>
                <w:spacing w:val="-2"/>
              </w:rPr>
              <w:t>o faktycznie</w:t>
            </w:r>
            <w:r w:rsidR="00A07BEC" w:rsidRPr="00957B06">
              <w:rPr>
                <w:rFonts w:cs="Calibri"/>
                <w:color w:val="000000"/>
                <w:spacing w:val="-2"/>
              </w:rPr>
              <w:t xml:space="preserve"> funkcjonowanie </w:t>
            </w:r>
            <w:r w:rsidR="00ED153F" w:rsidRPr="00957B06">
              <w:rPr>
                <w:rFonts w:cs="Calibri"/>
                <w:color w:val="000000"/>
                <w:spacing w:val="-2"/>
              </w:rPr>
              <w:t xml:space="preserve">samej </w:t>
            </w:r>
            <w:r w:rsidR="00C62EDB" w:rsidRPr="00957B06">
              <w:rPr>
                <w:rFonts w:cs="Calibri"/>
                <w:color w:val="000000"/>
                <w:spacing w:val="-2"/>
              </w:rPr>
              <w:t>UZD</w:t>
            </w:r>
            <w:r>
              <w:rPr>
                <w:rFonts w:cs="Calibri"/>
                <w:color w:val="000000"/>
                <w:spacing w:val="-2"/>
              </w:rPr>
              <w:t xml:space="preserve">. Trudno zresztą taki wpływ przypisywać bezpośrednio tym przepisom, z uwagi na fakt, </w:t>
            </w:r>
            <w:r w:rsidR="00ED153F" w:rsidRPr="00957B06">
              <w:rPr>
                <w:rFonts w:cs="Calibri"/>
                <w:color w:val="000000"/>
                <w:spacing w:val="-2"/>
              </w:rPr>
              <w:t xml:space="preserve">nie zawierają </w:t>
            </w:r>
            <w:r>
              <w:rPr>
                <w:rFonts w:cs="Calibri"/>
                <w:color w:val="000000"/>
                <w:spacing w:val="-2"/>
              </w:rPr>
              <w:t xml:space="preserve">one </w:t>
            </w:r>
            <w:r w:rsidR="00ED153F" w:rsidRPr="00957B06">
              <w:rPr>
                <w:rFonts w:cs="Calibri"/>
                <w:color w:val="000000"/>
                <w:spacing w:val="-2"/>
              </w:rPr>
              <w:t>bezpośrednich regulacji</w:t>
            </w:r>
            <w:r>
              <w:rPr>
                <w:rFonts w:cs="Calibri"/>
                <w:color w:val="000000"/>
                <w:spacing w:val="-2"/>
              </w:rPr>
              <w:t xml:space="preserve"> ani zobowiązań</w:t>
            </w:r>
            <w:r w:rsidR="00ED153F" w:rsidRPr="00957B06">
              <w:rPr>
                <w:rFonts w:cs="Calibri"/>
                <w:color w:val="000000"/>
                <w:spacing w:val="-2"/>
              </w:rPr>
              <w:t xml:space="preserve"> w kwestii zatrudnienia</w:t>
            </w:r>
            <w:r w:rsidR="00A07BEC" w:rsidRPr="00957B06">
              <w:rPr>
                <w:rFonts w:cs="Calibri"/>
                <w:color w:val="000000"/>
                <w:spacing w:val="-2"/>
              </w:rPr>
              <w:t xml:space="preserve">. </w:t>
            </w:r>
            <w:r>
              <w:rPr>
                <w:rFonts w:cs="Calibri"/>
                <w:color w:val="000000"/>
                <w:spacing w:val="-2"/>
              </w:rPr>
              <w:t>To raczej p</w:t>
            </w:r>
            <w:r w:rsidR="005C1634" w:rsidRPr="00957B06">
              <w:rPr>
                <w:rFonts w:cs="Calibri"/>
                <w:color w:val="000000"/>
                <w:spacing w:val="-2"/>
              </w:rPr>
              <w:t xml:space="preserve">rogram rządowy </w:t>
            </w:r>
            <w:r>
              <w:rPr>
                <w:rFonts w:cs="Calibri"/>
                <w:color w:val="000000"/>
                <w:spacing w:val="-2"/>
              </w:rPr>
              <w:t xml:space="preserve">(Dostępność Plus)  </w:t>
            </w:r>
            <w:r w:rsidR="005C1634" w:rsidRPr="00957B06">
              <w:rPr>
                <w:rFonts w:cs="Calibri"/>
                <w:color w:val="000000"/>
                <w:spacing w:val="-2"/>
              </w:rPr>
              <w:t xml:space="preserve"> </w:t>
            </w:r>
            <w:r w:rsidRPr="00957B06">
              <w:rPr>
                <w:rFonts w:cs="Calibri"/>
                <w:color w:val="000000"/>
                <w:spacing w:val="-2"/>
              </w:rPr>
              <w:t>zawier</w:t>
            </w:r>
            <w:r>
              <w:rPr>
                <w:rFonts w:cs="Calibri"/>
                <w:color w:val="000000"/>
                <w:spacing w:val="-2"/>
              </w:rPr>
              <w:t>ał</w:t>
            </w:r>
            <w:r w:rsidR="005C1634" w:rsidRPr="00957B06">
              <w:rPr>
                <w:rFonts w:cs="Calibri"/>
                <w:color w:val="000000"/>
                <w:spacing w:val="-2"/>
              </w:rPr>
              <w:t xml:space="preserve"> </w:t>
            </w:r>
            <w:r w:rsidR="00AE2C85" w:rsidRPr="00957B06">
              <w:rPr>
                <w:rFonts w:cs="Calibri"/>
                <w:color w:val="000000"/>
                <w:spacing w:val="-2"/>
              </w:rPr>
              <w:t>szereg</w:t>
            </w:r>
            <w:r w:rsidR="005C1634" w:rsidRPr="00957B06">
              <w:rPr>
                <w:rFonts w:cs="Calibri"/>
                <w:color w:val="000000"/>
                <w:spacing w:val="-2"/>
              </w:rPr>
              <w:t xml:space="preserve"> </w:t>
            </w:r>
            <w:r w:rsidR="00AE2C85" w:rsidRPr="00957B06">
              <w:rPr>
                <w:rFonts w:cs="Calibri"/>
                <w:color w:val="000000"/>
                <w:spacing w:val="-2"/>
              </w:rPr>
              <w:t xml:space="preserve">działań i środków skierowanych </w:t>
            </w:r>
            <w:r>
              <w:rPr>
                <w:rFonts w:cs="Calibri"/>
                <w:color w:val="000000"/>
                <w:spacing w:val="-2"/>
              </w:rPr>
              <w:t xml:space="preserve"> </w:t>
            </w:r>
            <w:r w:rsidR="00AE2C85" w:rsidRPr="00957B06">
              <w:rPr>
                <w:rFonts w:cs="Calibri"/>
                <w:color w:val="000000"/>
                <w:spacing w:val="-2"/>
              </w:rPr>
              <w:t xml:space="preserve"> na wsparcie rynku pracy dla osób z niepełnosprawnościami </w:t>
            </w:r>
            <w:r>
              <w:rPr>
                <w:rFonts w:cs="Calibri"/>
                <w:color w:val="000000"/>
                <w:spacing w:val="-2"/>
              </w:rPr>
              <w:t xml:space="preserve">(rozwój ekonomii społecznej, dofinansowanie środków transportu indywidualnego, program :”Stabilne zatrudnienie”) </w:t>
            </w:r>
            <w:r w:rsidR="00ED153F" w:rsidRPr="00957B06">
              <w:rPr>
                <w:rFonts w:cs="Calibri"/>
                <w:color w:val="000000"/>
                <w:spacing w:val="-2"/>
              </w:rPr>
              <w:t xml:space="preserve">- </w:t>
            </w:r>
            <w:r w:rsidR="00AE2C85" w:rsidRPr="00957B06">
              <w:rPr>
                <w:rFonts w:cs="Calibri"/>
                <w:color w:val="000000"/>
                <w:spacing w:val="-2"/>
              </w:rPr>
              <w:t>zarówno w kontekście tworzenia miejsc pracy</w:t>
            </w:r>
            <w:r w:rsidR="00A07BEC" w:rsidRPr="00957B06">
              <w:rPr>
                <w:rFonts w:cs="Calibri"/>
                <w:color w:val="000000"/>
                <w:spacing w:val="-2"/>
              </w:rPr>
              <w:t xml:space="preserve">, </w:t>
            </w:r>
            <w:r w:rsidR="005C1634" w:rsidRPr="00957B06">
              <w:rPr>
                <w:rFonts w:cs="Calibri"/>
                <w:color w:val="000000"/>
                <w:spacing w:val="-2"/>
              </w:rPr>
              <w:t xml:space="preserve">rozwoju </w:t>
            </w:r>
            <w:r w:rsidR="00A07BEC" w:rsidRPr="00957B06">
              <w:rPr>
                <w:rFonts w:cs="Calibri"/>
                <w:color w:val="000000"/>
                <w:spacing w:val="-2"/>
              </w:rPr>
              <w:t>program</w:t>
            </w:r>
            <w:r w:rsidR="005C1634" w:rsidRPr="00957B06">
              <w:rPr>
                <w:rFonts w:cs="Calibri"/>
                <w:color w:val="000000"/>
                <w:spacing w:val="-2"/>
              </w:rPr>
              <w:t>ów</w:t>
            </w:r>
            <w:r w:rsidR="00A07BEC" w:rsidRPr="00957B06">
              <w:rPr>
                <w:rFonts w:cs="Calibri"/>
                <w:color w:val="000000"/>
                <w:spacing w:val="-2"/>
              </w:rPr>
              <w:t xml:space="preserve"> stażow</w:t>
            </w:r>
            <w:r w:rsidR="005C1634" w:rsidRPr="00957B06">
              <w:rPr>
                <w:rFonts w:cs="Calibri"/>
                <w:color w:val="000000"/>
                <w:spacing w:val="-2"/>
              </w:rPr>
              <w:t>ych</w:t>
            </w:r>
            <w:r w:rsidR="00A07BEC" w:rsidRPr="00957B06">
              <w:rPr>
                <w:rFonts w:cs="Calibri"/>
                <w:color w:val="000000"/>
                <w:spacing w:val="-2"/>
              </w:rPr>
              <w:t xml:space="preserve">, czy </w:t>
            </w:r>
            <w:r w:rsidR="00AE2C85" w:rsidRPr="00957B06">
              <w:rPr>
                <w:rFonts w:cs="Calibri"/>
                <w:color w:val="000000"/>
                <w:spacing w:val="-2"/>
              </w:rPr>
              <w:t>wsparci</w:t>
            </w:r>
            <w:r w:rsidR="005C7B6D" w:rsidRPr="00957B06">
              <w:rPr>
                <w:rFonts w:cs="Calibri"/>
                <w:color w:val="000000"/>
                <w:spacing w:val="-2"/>
              </w:rPr>
              <w:t>a</w:t>
            </w:r>
            <w:r w:rsidR="00A07BEC" w:rsidRPr="00957B06">
              <w:rPr>
                <w:rFonts w:cs="Calibri"/>
                <w:color w:val="000000"/>
                <w:spacing w:val="-2"/>
              </w:rPr>
              <w:t xml:space="preserve"> podmiotów publicznych </w:t>
            </w:r>
            <w:r w:rsidR="00AE2C85" w:rsidRPr="00957B06">
              <w:rPr>
                <w:rFonts w:cs="Calibri"/>
                <w:color w:val="000000"/>
                <w:spacing w:val="-2"/>
              </w:rPr>
              <w:t xml:space="preserve">w przygotowaniu </w:t>
            </w:r>
            <w:r w:rsidR="00ED153F" w:rsidRPr="00957B06">
              <w:rPr>
                <w:rFonts w:cs="Calibri"/>
                <w:color w:val="000000"/>
                <w:spacing w:val="-2"/>
              </w:rPr>
              <w:t xml:space="preserve">się </w:t>
            </w:r>
            <w:r w:rsidR="00AE2C85" w:rsidRPr="00957B06">
              <w:rPr>
                <w:rFonts w:cs="Calibri"/>
                <w:color w:val="000000"/>
                <w:spacing w:val="-2"/>
              </w:rPr>
              <w:t>do zatrudnienia</w:t>
            </w:r>
            <w:r w:rsidR="00A07BEC" w:rsidRPr="00957B06">
              <w:rPr>
                <w:rFonts w:cs="Calibri"/>
                <w:color w:val="000000"/>
                <w:spacing w:val="-2"/>
              </w:rPr>
              <w:t xml:space="preserve"> OZN</w:t>
            </w:r>
            <w:r w:rsidR="00ED153F" w:rsidRPr="00957B06">
              <w:rPr>
                <w:rFonts w:cs="Calibri"/>
                <w:color w:val="000000"/>
                <w:spacing w:val="-2"/>
              </w:rPr>
              <w:t xml:space="preserve"> (wsparcie szkoleniowe, doradcze, poprawa dostępności w budynkach i ich otoczeniu)</w:t>
            </w:r>
            <w:r>
              <w:rPr>
                <w:rFonts w:cs="Calibri"/>
                <w:color w:val="000000"/>
                <w:spacing w:val="-2"/>
              </w:rPr>
              <w:t>.</w:t>
            </w:r>
            <w:r w:rsidR="005C7B6D" w:rsidRPr="00957B06">
              <w:rPr>
                <w:rFonts w:cs="Calibri"/>
                <w:color w:val="000000"/>
                <w:spacing w:val="-2"/>
              </w:rPr>
              <w:t xml:space="preserve"> </w:t>
            </w:r>
            <w:r w:rsidR="00D63276" w:rsidRPr="00957B06">
              <w:rPr>
                <w:rFonts w:cs="Calibri"/>
                <w:color w:val="000000"/>
                <w:spacing w:val="-2"/>
              </w:rPr>
              <w:t>Można</w:t>
            </w:r>
            <w:r>
              <w:rPr>
                <w:rFonts w:cs="Calibri"/>
                <w:color w:val="000000"/>
                <w:spacing w:val="-2"/>
              </w:rPr>
              <w:t xml:space="preserve"> zatem</w:t>
            </w:r>
            <w:r w:rsidR="00D63276" w:rsidRPr="00957B06">
              <w:rPr>
                <w:rFonts w:cs="Calibri"/>
                <w:color w:val="000000"/>
                <w:spacing w:val="-2"/>
              </w:rPr>
              <w:t xml:space="preserve"> tylko przypuszczać, że projekty ujęte w ww. programie miały pozytywny ale nieoszacowany</w:t>
            </w:r>
            <w:r w:rsidR="009028A3">
              <w:rPr>
                <w:rFonts w:cs="Calibri"/>
                <w:color w:val="000000"/>
                <w:spacing w:val="-2"/>
              </w:rPr>
              <w:t xml:space="preserve"> i niezweryfikowany</w:t>
            </w:r>
            <w:r w:rsidR="00D63276" w:rsidRPr="00957B06">
              <w:rPr>
                <w:rFonts w:cs="Calibri"/>
                <w:color w:val="000000"/>
                <w:spacing w:val="-2"/>
              </w:rPr>
              <w:t xml:space="preserve"> wpływ na poprawę tego wskaźnika.  </w:t>
            </w:r>
            <w:r w:rsidR="009028A3">
              <w:rPr>
                <w:rFonts w:cs="Calibri"/>
                <w:color w:val="000000"/>
                <w:spacing w:val="-2"/>
              </w:rPr>
              <w:t xml:space="preserve"> </w:t>
            </w:r>
          </w:p>
          <w:p w14:paraId="6EFA56F2" w14:textId="5D73CCC4" w:rsidR="003925A0" w:rsidRPr="00957B06" w:rsidRDefault="00BC3856" w:rsidP="005C7B6D">
            <w:pPr>
              <w:pStyle w:val="TableParagraph"/>
              <w:ind w:left="1" w:right="101"/>
              <w:rPr>
                <w:rFonts w:cs="Calibri"/>
                <w:color w:val="000000"/>
                <w:spacing w:val="-2"/>
              </w:rPr>
            </w:pPr>
            <w:r w:rsidRPr="00957B06">
              <w:rPr>
                <w:rFonts w:cs="Calibri"/>
                <w:color w:val="000000"/>
                <w:spacing w:val="-2"/>
              </w:rPr>
              <w:t xml:space="preserve"> </w:t>
            </w:r>
            <w:r w:rsidR="005C1634" w:rsidRPr="00957B06">
              <w:rPr>
                <w:rFonts w:cs="Calibri"/>
                <w:color w:val="000000"/>
                <w:spacing w:val="-2"/>
              </w:rPr>
              <w:t>(5)</w:t>
            </w:r>
          </w:p>
          <w:p w14:paraId="030AE1C5" w14:textId="5E8524B0" w:rsidR="00693F57" w:rsidRPr="00957B06" w:rsidRDefault="00A07BEC" w:rsidP="00693F57">
            <w:pPr>
              <w:pStyle w:val="TableParagraph"/>
              <w:ind w:left="0" w:right="95"/>
              <w:jc w:val="both"/>
              <w:rPr>
                <w:rFonts w:cs="Calibri"/>
                <w:color w:val="000000"/>
                <w:spacing w:val="-2"/>
              </w:rPr>
            </w:pPr>
            <w:r w:rsidRPr="00957B06">
              <w:rPr>
                <w:rFonts w:cs="Calibri"/>
                <w:color w:val="000000"/>
                <w:spacing w:val="-2"/>
              </w:rPr>
              <w:t>N</w:t>
            </w:r>
            <w:r w:rsidR="00B22ECC" w:rsidRPr="00957B06">
              <w:rPr>
                <w:rFonts w:cs="Calibri"/>
                <w:color w:val="000000"/>
                <w:spacing w:val="-2"/>
              </w:rPr>
              <w:t xml:space="preserve">a mocy </w:t>
            </w:r>
            <w:r w:rsidRPr="00957B06">
              <w:rPr>
                <w:rFonts w:cs="Calibri"/>
                <w:color w:val="000000"/>
                <w:spacing w:val="-2"/>
              </w:rPr>
              <w:t xml:space="preserve">art. 35 </w:t>
            </w:r>
            <w:r w:rsidR="00B22ECC" w:rsidRPr="00957B06">
              <w:rPr>
                <w:rFonts w:cs="Calibri"/>
                <w:color w:val="000000"/>
                <w:spacing w:val="-2"/>
              </w:rPr>
              <w:t>ustawy o zapewnianiu dostępności powołan</w:t>
            </w:r>
            <w:r w:rsidRPr="00957B06">
              <w:rPr>
                <w:rFonts w:cs="Calibri"/>
                <w:color w:val="000000"/>
                <w:spacing w:val="-2"/>
              </w:rPr>
              <w:t>o</w:t>
            </w:r>
            <w:r w:rsidR="00B22ECC" w:rsidRPr="00957B06">
              <w:rPr>
                <w:rFonts w:cs="Calibri"/>
                <w:color w:val="000000"/>
                <w:spacing w:val="-2"/>
              </w:rPr>
              <w:t xml:space="preserve"> Fundusz Dostępności (FD)</w:t>
            </w:r>
            <w:r w:rsidR="003157BB" w:rsidRPr="00957B06">
              <w:rPr>
                <w:rFonts w:cs="Calibri"/>
                <w:color w:val="000000"/>
                <w:spacing w:val="-2"/>
              </w:rPr>
              <w:t xml:space="preserve">, którego zarządzanie powierzono </w:t>
            </w:r>
            <w:r w:rsidR="00B22ECC" w:rsidRPr="00957B06">
              <w:rPr>
                <w:rFonts w:cs="Calibri"/>
                <w:color w:val="000000"/>
                <w:spacing w:val="-2"/>
              </w:rPr>
              <w:t>Bank</w:t>
            </w:r>
            <w:r w:rsidR="003157BB" w:rsidRPr="00957B06">
              <w:rPr>
                <w:rFonts w:cs="Calibri"/>
                <w:color w:val="000000"/>
                <w:spacing w:val="-2"/>
              </w:rPr>
              <w:t xml:space="preserve">owi </w:t>
            </w:r>
            <w:r w:rsidR="00B22ECC" w:rsidRPr="00957B06">
              <w:rPr>
                <w:rFonts w:cs="Calibri"/>
                <w:color w:val="000000"/>
                <w:spacing w:val="-2"/>
              </w:rPr>
              <w:t>Gospodarstwa Krajowego (BGK)</w:t>
            </w:r>
            <w:r w:rsidR="003157BB" w:rsidRPr="00957B06">
              <w:rPr>
                <w:rFonts w:cs="Calibri"/>
                <w:color w:val="000000"/>
                <w:spacing w:val="-2"/>
              </w:rPr>
              <w:t xml:space="preserve">. Ze środków funduszu udzielane są preferencyjne pożyczki (nisko oprocentowane i do 50% umarzalne) </w:t>
            </w:r>
            <w:r w:rsidR="00B22ECC" w:rsidRPr="00957B06">
              <w:rPr>
                <w:rFonts w:cs="Calibri"/>
                <w:color w:val="000000"/>
                <w:spacing w:val="-2"/>
              </w:rPr>
              <w:t>skierowan</w:t>
            </w:r>
            <w:r w:rsidR="003157BB" w:rsidRPr="00957B06">
              <w:rPr>
                <w:rFonts w:cs="Calibri"/>
                <w:color w:val="000000"/>
                <w:spacing w:val="-2"/>
              </w:rPr>
              <w:t>e</w:t>
            </w:r>
            <w:r w:rsidR="00B22ECC" w:rsidRPr="00957B06">
              <w:rPr>
                <w:rFonts w:cs="Calibri"/>
                <w:color w:val="000000"/>
                <w:spacing w:val="-2"/>
              </w:rPr>
              <w:t xml:space="preserve"> głównie do spółdzielni i wspólnot mieszkaniowych</w:t>
            </w:r>
            <w:r w:rsidR="003157BB" w:rsidRPr="00957B06">
              <w:rPr>
                <w:rFonts w:cs="Calibri"/>
                <w:color w:val="000000"/>
                <w:spacing w:val="-2"/>
              </w:rPr>
              <w:t xml:space="preserve"> </w:t>
            </w:r>
            <w:r w:rsidR="00B22ECC" w:rsidRPr="00957B06">
              <w:rPr>
                <w:rFonts w:cs="Calibri"/>
                <w:color w:val="000000"/>
                <w:spacing w:val="-2"/>
              </w:rPr>
              <w:t>na dostosowani</w:t>
            </w:r>
            <w:r w:rsidR="003157BB" w:rsidRPr="00957B06">
              <w:rPr>
                <w:rFonts w:cs="Calibri"/>
                <w:color w:val="000000"/>
                <w:spacing w:val="-2"/>
              </w:rPr>
              <w:t xml:space="preserve">a w </w:t>
            </w:r>
            <w:r w:rsidR="00B22ECC" w:rsidRPr="00957B06">
              <w:rPr>
                <w:rFonts w:cs="Calibri"/>
                <w:color w:val="000000"/>
                <w:spacing w:val="-2"/>
              </w:rPr>
              <w:t>wielorodzinnych budynk</w:t>
            </w:r>
            <w:r w:rsidR="003157BB" w:rsidRPr="00957B06">
              <w:rPr>
                <w:rFonts w:cs="Calibri"/>
                <w:color w:val="000000"/>
                <w:spacing w:val="-2"/>
              </w:rPr>
              <w:t xml:space="preserve">ach </w:t>
            </w:r>
            <w:r w:rsidR="00B22ECC" w:rsidRPr="00957B06">
              <w:rPr>
                <w:rFonts w:cs="Calibri"/>
                <w:color w:val="000000"/>
                <w:spacing w:val="-2"/>
              </w:rPr>
              <w:t xml:space="preserve">mieszkalnych oraz </w:t>
            </w:r>
            <w:r w:rsidR="00350103" w:rsidRPr="00957B06">
              <w:rPr>
                <w:rFonts w:cs="Calibri"/>
                <w:color w:val="000000"/>
                <w:spacing w:val="-2"/>
              </w:rPr>
              <w:t xml:space="preserve">do sektora publicznego na dostosowania w </w:t>
            </w:r>
            <w:r w:rsidR="00B22ECC" w:rsidRPr="00957B06">
              <w:rPr>
                <w:rFonts w:cs="Calibri"/>
                <w:color w:val="000000"/>
                <w:spacing w:val="-2"/>
              </w:rPr>
              <w:t>budynk</w:t>
            </w:r>
            <w:r w:rsidR="003157BB" w:rsidRPr="00957B06">
              <w:rPr>
                <w:rFonts w:cs="Calibri"/>
                <w:color w:val="000000"/>
                <w:spacing w:val="-2"/>
              </w:rPr>
              <w:t xml:space="preserve">ach </w:t>
            </w:r>
            <w:r w:rsidR="00B22ECC" w:rsidRPr="00957B06">
              <w:rPr>
                <w:rFonts w:cs="Calibri"/>
                <w:color w:val="000000"/>
                <w:spacing w:val="-2"/>
              </w:rPr>
              <w:t xml:space="preserve">użyteczności publicznej do potrzeb osób mających trwałe lub czasowe ograniczenia w mobilności czy percepcji. </w:t>
            </w:r>
            <w:r w:rsidR="005C1634" w:rsidRPr="00957B06">
              <w:rPr>
                <w:rFonts w:cs="Calibri"/>
                <w:color w:val="000000"/>
                <w:spacing w:val="-2"/>
              </w:rPr>
              <w:t xml:space="preserve">Ze środków FD realizowane są </w:t>
            </w:r>
            <w:r w:rsidR="00B22ECC" w:rsidRPr="00957B06">
              <w:rPr>
                <w:rFonts w:cs="Calibri"/>
                <w:color w:val="000000"/>
                <w:spacing w:val="-2"/>
              </w:rPr>
              <w:t>inwestycje takie jak montaż lub wymiana windy, domofonów, podjazdów czy platform. Inwestycje objęte wsparciem mogą dotyczyć przebudowy, rozbudowy lub modernizacji budynków oraz terenów bezpośrednio wokół nich. Do</w:t>
            </w:r>
            <w:r w:rsidR="00271653" w:rsidRPr="00957B06">
              <w:rPr>
                <w:rFonts w:cs="Calibri"/>
                <w:color w:val="000000"/>
                <w:spacing w:val="-2"/>
              </w:rPr>
              <w:t xml:space="preserve"> </w:t>
            </w:r>
            <w:r w:rsidR="00C117C6" w:rsidRPr="00957B06">
              <w:rPr>
                <w:rFonts w:cs="Calibri"/>
                <w:color w:val="000000"/>
                <w:spacing w:val="-2"/>
              </w:rPr>
              <w:t xml:space="preserve">końca marca 2026 r. </w:t>
            </w:r>
            <w:r w:rsidR="006A133F" w:rsidRPr="00957B06">
              <w:rPr>
                <w:rFonts w:cs="Calibri"/>
                <w:color w:val="000000"/>
                <w:spacing w:val="-2"/>
              </w:rPr>
              <w:t xml:space="preserve">złożono 721 wniosków na kwotę 735 mln zł. </w:t>
            </w:r>
            <w:r w:rsidR="006E318C" w:rsidRPr="00957B06">
              <w:rPr>
                <w:rFonts w:cs="Calibri"/>
                <w:color w:val="000000"/>
                <w:spacing w:val="-2"/>
              </w:rPr>
              <w:t>P</w:t>
            </w:r>
            <w:r w:rsidR="006A133F" w:rsidRPr="00957B06">
              <w:rPr>
                <w:rFonts w:cs="Calibri"/>
                <w:color w:val="000000"/>
                <w:spacing w:val="-2"/>
              </w:rPr>
              <w:t xml:space="preserve">odpisano 458 umów, z czego blisko 140 umów związanych </w:t>
            </w:r>
            <w:r w:rsidR="006E318C" w:rsidRPr="00957B06">
              <w:rPr>
                <w:rFonts w:cs="Calibri"/>
                <w:color w:val="000000"/>
                <w:spacing w:val="-2"/>
              </w:rPr>
              <w:t xml:space="preserve">było </w:t>
            </w:r>
            <w:r w:rsidR="006A133F" w:rsidRPr="00957B06">
              <w:rPr>
                <w:rFonts w:cs="Calibri"/>
                <w:color w:val="000000"/>
                <w:spacing w:val="-2"/>
              </w:rPr>
              <w:t xml:space="preserve">z inwestycjami w mieszkalnictwie wielorodzinnym, ponad 240 dla spółdzielni mieszkaniowych, 4 dla towarzystw budownictwa społecznego (TBS), ponad 90 na usprawnienia w budynkach użyteczności publicznej. Łączna wartość zawartych umów to ponad 400 mln zł. </w:t>
            </w:r>
            <w:r w:rsidR="006E318C" w:rsidRPr="00957B06">
              <w:rPr>
                <w:rFonts w:cs="Calibri"/>
                <w:color w:val="000000"/>
                <w:spacing w:val="-2"/>
              </w:rPr>
              <w:t xml:space="preserve">Zdecydowana większość, bo ponad 225 mln zł przeznaczone zostało na modernizację wind, a ponad 111 mln zł  na budowę nowych wind. Nieco ponad 52 mln zł zostało przeznaczone na inne modernizacje. Od początku funkcjonowania instrumentu zrealizowano 380 inwestycji o wartości ponad 303 mln zł, z czego blisko 28 mln zł zostało spłaconych. </w:t>
            </w:r>
            <w:r w:rsidR="00496E73" w:rsidRPr="00957B06">
              <w:rPr>
                <w:rFonts w:cs="Calibri"/>
                <w:color w:val="000000"/>
                <w:spacing w:val="-2"/>
              </w:rPr>
              <w:t xml:space="preserve">Instrument cieszy się bardzo dużym zainteresowanie. Jest </w:t>
            </w:r>
            <w:r w:rsidR="00693F57" w:rsidRPr="00957B06">
              <w:rPr>
                <w:rFonts w:cs="Calibri"/>
                <w:color w:val="000000"/>
                <w:spacing w:val="-2"/>
              </w:rPr>
              <w:t>zdecydowan</w:t>
            </w:r>
            <w:r w:rsidR="00496E73" w:rsidRPr="00957B06">
              <w:rPr>
                <w:rFonts w:cs="Calibri"/>
                <w:color w:val="000000"/>
                <w:spacing w:val="-2"/>
              </w:rPr>
              <w:t>ie</w:t>
            </w:r>
            <w:r w:rsidR="00693F57" w:rsidRPr="00957B06">
              <w:rPr>
                <w:rFonts w:cs="Calibri"/>
                <w:color w:val="000000"/>
                <w:spacing w:val="-2"/>
              </w:rPr>
              <w:t xml:space="preserve"> niedofinansowan</w:t>
            </w:r>
            <w:r w:rsidR="00496E73" w:rsidRPr="00957B06">
              <w:rPr>
                <w:rFonts w:cs="Calibri"/>
                <w:color w:val="000000"/>
                <w:spacing w:val="-2"/>
              </w:rPr>
              <w:t>y.</w:t>
            </w:r>
            <w:r w:rsidR="00693F57" w:rsidRPr="00957B06">
              <w:rPr>
                <w:rFonts w:cs="Calibri"/>
                <w:color w:val="000000"/>
                <w:spacing w:val="-2"/>
              </w:rPr>
              <w:t xml:space="preserve"> Duże zainteresowanie powoduje, że środki uruchamiane w danym roku szybko się wyczerpują i szacuje się, że popyt na środki tego funduszu został zaspokojony na poziomie niespełna 60%. </w:t>
            </w:r>
          </w:p>
          <w:p w14:paraId="4C6680AF" w14:textId="5384028E" w:rsidR="00B22ECC" w:rsidRPr="00957B06" w:rsidRDefault="003157BB" w:rsidP="005C7B6D">
            <w:pPr>
              <w:pStyle w:val="TableParagraph"/>
              <w:ind w:left="1" w:right="101"/>
              <w:rPr>
                <w:rFonts w:cs="Calibri"/>
                <w:color w:val="000000"/>
                <w:spacing w:val="-2"/>
              </w:rPr>
            </w:pPr>
            <w:r w:rsidRPr="00957B06">
              <w:rPr>
                <w:rFonts w:cs="Calibri"/>
                <w:color w:val="000000"/>
                <w:spacing w:val="-2"/>
              </w:rPr>
              <w:t>Popularność instrumentu jest obecnie bardzo duża co potwierdza fakt składania wniosków w ogłaszanych  naborach na kwotę ok 200 % większa niż zasoby</w:t>
            </w:r>
            <w:r w:rsidR="00350103" w:rsidRPr="00957B06">
              <w:rPr>
                <w:rFonts w:cs="Calibri"/>
                <w:color w:val="000000"/>
                <w:spacing w:val="-2"/>
              </w:rPr>
              <w:t xml:space="preserve">. Działanie FD </w:t>
            </w:r>
            <w:r w:rsidR="00ED153F" w:rsidRPr="00957B06">
              <w:rPr>
                <w:rFonts w:cs="Calibri"/>
                <w:color w:val="000000"/>
                <w:spacing w:val="-2"/>
              </w:rPr>
              <w:t xml:space="preserve">wprost przyczynia się do rozwiązywania problemów </w:t>
            </w:r>
            <w:r w:rsidR="00350103" w:rsidRPr="00957B06">
              <w:rPr>
                <w:rFonts w:cs="Calibri"/>
                <w:color w:val="000000"/>
                <w:spacing w:val="-2"/>
              </w:rPr>
              <w:t xml:space="preserve"> tzw. </w:t>
            </w:r>
            <w:r w:rsidR="00ED153F" w:rsidRPr="00957B06">
              <w:rPr>
                <w:rFonts w:cs="Calibri"/>
                <w:color w:val="000000"/>
                <w:spacing w:val="-2"/>
              </w:rPr>
              <w:t>„</w:t>
            </w:r>
            <w:r w:rsidR="00350103" w:rsidRPr="00957B06">
              <w:rPr>
                <w:rFonts w:cs="Calibri"/>
                <w:color w:val="000000"/>
                <w:spacing w:val="-2"/>
              </w:rPr>
              <w:t>więźniów 4 piętra</w:t>
            </w:r>
            <w:r w:rsidR="00ED153F" w:rsidRPr="00957B06">
              <w:rPr>
                <w:rFonts w:cs="Calibri"/>
                <w:color w:val="000000"/>
                <w:spacing w:val="-2"/>
              </w:rPr>
              <w:t>”. J</w:t>
            </w:r>
            <w:r w:rsidR="00350103" w:rsidRPr="00957B06">
              <w:rPr>
                <w:rFonts w:cs="Calibri"/>
                <w:color w:val="000000"/>
                <w:spacing w:val="-2"/>
              </w:rPr>
              <w:t>ednocześnie jednak</w:t>
            </w:r>
            <w:r w:rsidR="005C1634" w:rsidRPr="00957B06">
              <w:rPr>
                <w:rFonts w:cs="Calibri"/>
                <w:color w:val="000000"/>
                <w:spacing w:val="-2"/>
              </w:rPr>
              <w:t xml:space="preserve"> zapotrzebowanie na pożyczki</w:t>
            </w:r>
            <w:r w:rsidR="00350103" w:rsidRPr="00957B06">
              <w:rPr>
                <w:rFonts w:cs="Calibri"/>
                <w:color w:val="000000"/>
                <w:spacing w:val="-2"/>
              </w:rPr>
              <w:t xml:space="preserve"> </w:t>
            </w:r>
            <w:r w:rsidR="00ED153F" w:rsidRPr="00957B06">
              <w:rPr>
                <w:rFonts w:cs="Calibri"/>
                <w:color w:val="000000"/>
                <w:spacing w:val="-2"/>
              </w:rPr>
              <w:t xml:space="preserve">znacząco </w:t>
            </w:r>
            <w:r w:rsidR="00350103" w:rsidRPr="00957B06">
              <w:rPr>
                <w:rFonts w:cs="Calibri"/>
                <w:color w:val="000000"/>
                <w:spacing w:val="-2"/>
              </w:rPr>
              <w:t>przewyższa</w:t>
            </w:r>
            <w:r w:rsidR="00ED153F" w:rsidRPr="00957B06">
              <w:rPr>
                <w:rFonts w:cs="Calibri"/>
                <w:color w:val="000000"/>
                <w:spacing w:val="-2"/>
              </w:rPr>
              <w:t xml:space="preserve"> </w:t>
            </w:r>
            <w:r w:rsidR="00350103" w:rsidRPr="00957B06">
              <w:rPr>
                <w:rFonts w:cs="Calibri"/>
                <w:color w:val="000000"/>
                <w:spacing w:val="-2"/>
              </w:rPr>
              <w:t xml:space="preserve">dostępne środki </w:t>
            </w:r>
            <w:r w:rsidR="00ED153F" w:rsidRPr="00957B06">
              <w:rPr>
                <w:rFonts w:cs="Calibri"/>
                <w:color w:val="000000"/>
                <w:spacing w:val="-2"/>
              </w:rPr>
              <w:t>– co pokazuje</w:t>
            </w:r>
            <w:r w:rsidR="00C62EDB" w:rsidRPr="00957B06">
              <w:rPr>
                <w:rFonts w:cs="Calibri"/>
                <w:color w:val="000000"/>
                <w:spacing w:val="-2"/>
              </w:rPr>
              <w:t xml:space="preserve"> iż zasilenie FD j</w:t>
            </w:r>
            <w:r w:rsidR="00ED153F" w:rsidRPr="00957B06">
              <w:rPr>
                <w:rFonts w:cs="Calibri"/>
                <w:color w:val="000000"/>
                <w:spacing w:val="-2"/>
              </w:rPr>
              <w:t xml:space="preserve">est </w:t>
            </w:r>
            <w:r w:rsidR="00ED153F" w:rsidRPr="00957B06">
              <w:rPr>
                <w:rFonts w:cs="Calibri"/>
                <w:color w:val="000000"/>
                <w:spacing w:val="-2"/>
              </w:rPr>
              <w:lastRenderedPageBreak/>
              <w:t>niewystarczając</w:t>
            </w:r>
            <w:r w:rsidR="00C62EDB" w:rsidRPr="00957B06">
              <w:rPr>
                <w:rFonts w:cs="Calibri"/>
                <w:color w:val="000000"/>
                <w:spacing w:val="-2"/>
              </w:rPr>
              <w:t>e</w:t>
            </w:r>
            <w:r w:rsidR="00ED153F" w:rsidRPr="00957B06">
              <w:rPr>
                <w:rFonts w:cs="Calibri"/>
                <w:color w:val="000000"/>
                <w:spacing w:val="-2"/>
              </w:rPr>
              <w:t xml:space="preserve"> i powinn</w:t>
            </w:r>
            <w:r w:rsidR="00C62EDB" w:rsidRPr="00957B06">
              <w:rPr>
                <w:rFonts w:cs="Calibri"/>
                <w:color w:val="000000"/>
                <w:spacing w:val="-2"/>
              </w:rPr>
              <w:t>o</w:t>
            </w:r>
            <w:r w:rsidR="00ED153F" w:rsidRPr="00957B06">
              <w:rPr>
                <w:rFonts w:cs="Calibri"/>
                <w:color w:val="000000"/>
                <w:spacing w:val="-2"/>
              </w:rPr>
              <w:t xml:space="preserve"> być zwiększon</w:t>
            </w:r>
            <w:r w:rsidR="00C62EDB" w:rsidRPr="00957B06">
              <w:rPr>
                <w:rFonts w:cs="Calibri"/>
                <w:color w:val="000000"/>
                <w:spacing w:val="-2"/>
              </w:rPr>
              <w:t>e</w:t>
            </w:r>
            <w:r w:rsidR="00ED153F" w:rsidRPr="00957B06">
              <w:rPr>
                <w:rFonts w:cs="Calibri"/>
                <w:color w:val="000000"/>
                <w:spacing w:val="-2"/>
              </w:rPr>
              <w:t>.</w:t>
            </w:r>
            <w:r w:rsidR="00C62EDB" w:rsidRPr="00957B06">
              <w:rPr>
                <w:rFonts w:cs="Calibri"/>
                <w:color w:val="000000"/>
                <w:spacing w:val="-2"/>
              </w:rPr>
              <w:t xml:space="preserve"> (należy zaznaczyć iż w latach </w:t>
            </w:r>
            <w:r w:rsidR="002D4DBD" w:rsidRPr="00957B06">
              <w:rPr>
                <w:rFonts w:cs="Calibri"/>
                <w:color w:val="000000"/>
                <w:spacing w:val="-2"/>
              </w:rPr>
              <w:t>2020 i 202</w:t>
            </w:r>
            <w:r w:rsidR="00571071" w:rsidRPr="00957B06">
              <w:rPr>
                <w:rFonts w:cs="Calibri"/>
                <w:color w:val="000000"/>
                <w:spacing w:val="-2"/>
              </w:rPr>
              <w:t>3</w:t>
            </w:r>
            <w:r w:rsidR="002D4DBD" w:rsidRPr="00957B06">
              <w:rPr>
                <w:rFonts w:cs="Calibri"/>
                <w:color w:val="000000"/>
                <w:spacing w:val="-2"/>
              </w:rPr>
              <w:t xml:space="preserve"> </w:t>
            </w:r>
            <w:r w:rsidR="00C62EDB" w:rsidRPr="00957B06">
              <w:rPr>
                <w:rFonts w:cs="Calibri"/>
                <w:color w:val="000000"/>
                <w:spacing w:val="-2"/>
              </w:rPr>
              <w:t>FD</w:t>
            </w:r>
            <w:r w:rsidR="00DA028D" w:rsidRPr="00957B06">
              <w:rPr>
                <w:rFonts w:cs="Calibri"/>
                <w:color w:val="000000"/>
                <w:spacing w:val="-2"/>
              </w:rPr>
              <w:t xml:space="preserve"> został zasilony  jedynie kwotą 5 mln zł z budżetu państwa, co odbiegało znacznie do </w:t>
            </w:r>
            <w:r w:rsidR="00C62EDB" w:rsidRPr="00957B06">
              <w:rPr>
                <w:rFonts w:cs="Calibri"/>
                <w:color w:val="000000"/>
                <w:spacing w:val="-2"/>
              </w:rPr>
              <w:t>kwot wynikający</w:t>
            </w:r>
            <w:r w:rsidR="00DA028D" w:rsidRPr="00957B06">
              <w:rPr>
                <w:rFonts w:cs="Calibri"/>
                <w:color w:val="000000"/>
                <w:spacing w:val="-2"/>
              </w:rPr>
              <w:t xml:space="preserve">ch </w:t>
            </w:r>
            <w:r w:rsidR="00C62EDB" w:rsidRPr="00957B06">
              <w:rPr>
                <w:rFonts w:cs="Calibri"/>
                <w:color w:val="000000"/>
                <w:spacing w:val="-2"/>
              </w:rPr>
              <w:t xml:space="preserve">z art. 72 UZD </w:t>
            </w:r>
            <w:r w:rsidR="00DA028D" w:rsidRPr="00957B06">
              <w:rPr>
                <w:rFonts w:cs="Calibri"/>
                <w:color w:val="000000"/>
                <w:spacing w:val="-2"/>
              </w:rPr>
              <w:t xml:space="preserve"> na lata te przewidziano 170 mln </w:t>
            </w:r>
            <w:r w:rsidR="00571071" w:rsidRPr="00957B06">
              <w:rPr>
                <w:rFonts w:cs="Calibri"/>
                <w:color w:val="000000"/>
                <w:spacing w:val="-2"/>
              </w:rPr>
              <w:t xml:space="preserve">- </w:t>
            </w:r>
            <w:r w:rsidR="00DA028D" w:rsidRPr="00957B06">
              <w:rPr>
                <w:rFonts w:cs="Calibri"/>
                <w:color w:val="000000"/>
                <w:spacing w:val="-2"/>
              </w:rPr>
              <w:t xml:space="preserve"> niewypłacone </w:t>
            </w:r>
            <w:r w:rsidR="00C62EDB" w:rsidRPr="00957B06">
              <w:rPr>
                <w:rFonts w:cs="Calibri"/>
                <w:color w:val="000000"/>
                <w:spacing w:val="-2"/>
              </w:rPr>
              <w:t>środki nie zostały uzupełnione na późniejszym etapie jego działania)</w:t>
            </w:r>
            <w:r w:rsidR="00DA028D" w:rsidRPr="00957B06">
              <w:rPr>
                <w:rFonts w:cs="Calibri"/>
                <w:color w:val="000000"/>
                <w:spacing w:val="-2"/>
              </w:rPr>
              <w:t xml:space="preserve">. </w:t>
            </w:r>
            <w:r w:rsidR="00722F9F" w:rsidRPr="00957B06">
              <w:t>Instrument ten okazał się trafny i potrzebny, jednak jego skala jest niewystarczająca w stosunku do istniejących potrzeb.</w:t>
            </w:r>
            <w:r w:rsidR="00ED153F" w:rsidRPr="00957B06">
              <w:rPr>
                <w:rFonts w:cs="Calibri"/>
                <w:color w:val="000000"/>
                <w:spacing w:val="-2"/>
              </w:rPr>
              <w:t xml:space="preserve"> Jego skuteczność może  być zwiększona poprzez dokapitalizowanie Funduszu. Szacunki wskazują na konieczność dokonania kilkudziesięciu tysięcy (20-30 tys.) inwestycji w dźwigi osobowe w blokach mieszkalnych aby kompleksowo zaadresować ten problem. </w:t>
            </w:r>
          </w:p>
          <w:p w14:paraId="0EC295CE" w14:textId="26A4451C" w:rsidR="003925A0" w:rsidRPr="00957B06" w:rsidRDefault="003925A0" w:rsidP="00CF233B">
            <w:pPr>
              <w:pStyle w:val="TableParagraph"/>
              <w:ind w:left="0" w:right="101"/>
              <w:rPr>
                <w:rFonts w:cs="Calibri"/>
                <w:color w:val="000000"/>
                <w:spacing w:val="-2"/>
              </w:rPr>
            </w:pPr>
            <w:r w:rsidRPr="00957B06">
              <w:rPr>
                <w:rFonts w:cs="Calibri"/>
                <w:color w:val="000000"/>
                <w:spacing w:val="-2"/>
              </w:rPr>
              <w:t xml:space="preserve">(6) </w:t>
            </w:r>
          </w:p>
          <w:p w14:paraId="6313F813" w14:textId="77777777" w:rsidR="008167FF" w:rsidRPr="00957B06" w:rsidRDefault="00D97189" w:rsidP="00BC3856">
            <w:pPr>
              <w:widowControl/>
              <w:autoSpaceDE/>
              <w:autoSpaceDN/>
              <w:spacing w:after="160" w:line="259" w:lineRule="auto"/>
              <w:contextualSpacing/>
              <w:rPr>
                <w:rFonts w:cs="Calibri"/>
                <w:color w:val="000000"/>
                <w:spacing w:val="-2"/>
              </w:rPr>
            </w:pPr>
            <w:r w:rsidRPr="00957B06">
              <w:rPr>
                <w:rFonts w:cs="Calibri"/>
                <w:color w:val="000000"/>
                <w:spacing w:val="-2"/>
              </w:rPr>
              <w:t xml:space="preserve">Dwa przeprowadzone </w:t>
            </w:r>
            <w:r w:rsidR="003157BB" w:rsidRPr="00957B06">
              <w:rPr>
                <w:rFonts w:cs="Calibri"/>
                <w:color w:val="000000"/>
                <w:spacing w:val="-2"/>
              </w:rPr>
              <w:t>ogólnopolskie proces</w:t>
            </w:r>
            <w:r w:rsidRPr="00957B06">
              <w:rPr>
                <w:rFonts w:cs="Calibri"/>
                <w:color w:val="000000"/>
                <w:spacing w:val="-2"/>
              </w:rPr>
              <w:t>y</w:t>
            </w:r>
            <w:r w:rsidR="003157BB" w:rsidRPr="00957B06">
              <w:rPr>
                <w:rFonts w:cs="Calibri"/>
                <w:color w:val="000000"/>
                <w:spacing w:val="-2"/>
              </w:rPr>
              <w:t xml:space="preserve"> raportowania dost</w:t>
            </w:r>
            <w:r w:rsidRPr="00957B06">
              <w:rPr>
                <w:rFonts w:cs="Calibri"/>
                <w:color w:val="000000"/>
                <w:spacing w:val="-2"/>
              </w:rPr>
              <w:t>ę</w:t>
            </w:r>
            <w:r w:rsidR="003157BB" w:rsidRPr="00957B06">
              <w:rPr>
                <w:rFonts w:cs="Calibri"/>
                <w:color w:val="000000"/>
                <w:spacing w:val="-2"/>
              </w:rPr>
              <w:t>pno</w:t>
            </w:r>
            <w:r w:rsidRPr="00957B06">
              <w:rPr>
                <w:rFonts w:cs="Calibri"/>
                <w:color w:val="000000"/>
                <w:spacing w:val="-2"/>
              </w:rPr>
              <w:t>ś</w:t>
            </w:r>
            <w:r w:rsidR="003157BB" w:rsidRPr="00957B06">
              <w:rPr>
                <w:rFonts w:cs="Calibri"/>
                <w:color w:val="000000"/>
                <w:spacing w:val="-2"/>
              </w:rPr>
              <w:t>ci (zgodnie z art. 11</w:t>
            </w:r>
            <w:r w:rsidR="00C62EDB" w:rsidRPr="00957B06">
              <w:rPr>
                <w:rFonts w:cs="Calibri"/>
                <w:color w:val="000000"/>
                <w:spacing w:val="-2"/>
              </w:rPr>
              <w:t xml:space="preserve"> UZD</w:t>
            </w:r>
            <w:r w:rsidRPr="00957B06">
              <w:rPr>
                <w:rFonts w:cs="Calibri"/>
                <w:color w:val="000000"/>
                <w:spacing w:val="-2"/>
              </w:rPr>
              <w:t xml:space="preserve">) o których mowa na wstępie cz. 3.3 </w:t>
            </w:r>
            <w:r w:rsidR="00882D41" w:rsidRPr="00957B06">
              <w:rPr>
                <w:rFonts w:cs="Calibri"/>
                <w:color w:val="000000"/>
                <w:spacing w:val="-2"/>
              </w:rPr>
              <w:t xml:space="preserve">obrazują </w:t>
            </w:r>
            <w:r w:rsidRPr="00957B06">
              <w:rPr>
                <w:rFonts w:cs="Calibri"/>
                <w:color w:val="000000"/>
                <w:spacing w:val="-2"/>
              </w:rPr>
              <w:t xml:space="preserve">wskaźniki realizacji przez podmioty publiczne wymagań w zakresie dostępności </w:t>
            </w:r>
            <w:r w:rsidR="00ED153F" w:rsidRPr="00957B06">
              <w:rPr>
                <w:rFonts w:cs="Calibri"/>
                <w:color w:val="000000"/>
                <w:spacing w:val="-2"/>
              </w:rPr>
              <w:t xml:space="preserve">komunikacyjnej. </w:t>
            </w:r>
            <w:r w:rsidR="00150120" w:rsidRPr="00957B06">
              <w:rPr>
                <w:rFonts w:cs="Calibri"/>
                <w:color w:val="000000"/>
                <w:spacing w:val="-2"/>
              </w:rPr>
              <w:t xml:space="preserve">Z danych za 2025 r. wynika </w:t>
            </w:r>
            <w:r w:rsidR="00ED153F" w:rsidRPr="00957B06">
              <w:rPr>
                <w:rFonts w:cs="Calibri"/>
                <w:color w:val="000000"/>
                <w:spacing w:val="-2"/>
              </w:rPr>
              <w:t xml:space="preserve">że nadal 2/3 podmiotów nie spełnia tego wymagania. </w:t>
            </w:r>
            <w:r w:rsidR="00FC1095" w:rsidRPr="00957B06">
              <w:rPr>
                <w:rFonts w:cs="Calibri"/>
                <w:color w:val="000000"/>
                <w:spacing w:val="-2"/>
              </w:rPr>
              <w:t xml:space="preserve">Jednocześnie dane z raportów </w:t>
            </w:r>
            <w:r w:rsidR="00ED153F" w:rsidRPr="00957B06">
              <w:rPr>
                <w:rFonts w:cs="Calibri"/>
                <w:color w:val="000000"/>
                <w:spacing w:val="-2"/>
              </w:rPr>
              <w:t>ws</w:t>
            </w:r>
            <w:r w:rsidR="00FC1095" w:rsidRPr="00957B06">
              <w:rPr>
                <w:rFonts w:cs="Calibri"/>
                <w:color w:val="000000"/>
                <w:spacing w:val="-2"/>
              </w:rPr>
              <w:t xml:space="preserve">kazują </w:t>
            </w:r>
            <w:r w:rsidR="00ED153F" w:rsidRPr="00957B06">
              <w:rPr>
                <w:rFonts w:cs="Calibri"/>
                <w:color w:val="000000"/>
                <w:spacing w:val="-2"/>
              </w:rPr>
              <w:t xml:space="preserve">też </w:t>
            </w:r>
            <w:r w:rsidR="00FC1095" w:rsidRPr="00957B06">
              <w:rPr>
                <w:rFonts w:cs="Calibri"/>
                <w:color w:val="000000"/>
                <w:spacing w:val="-2"/>
              </w:rPr>
              <w:t>na niskie wykorzystanie instrumentu w postaci wniosku o komunikację w formie preferowanej przez osobę ze szczególnymi potrzebami (art. 6 pkt 3lit d) - w obu edycjach raportowani</w:t>
            </w:r>
            <w:r w:rsidR="00C62EDB" w:rsidRPr="00957B06">
              <w:rPr>
                <w:rFonts w:cs="Calibri"/>
                <w:color w:val="000000"/>
                <w:spacing w:val="-2"/>
              </w:rPr>
              <w:t>a</w:t>
            </w:r>
            <w:r w:rsidR="00FC1095" w:rsidRPr="00957B06">
              <w:rPr>
                <w:rFonts w:cs="Calibri"/>
                <w:color w:val="000000"/>
                <w:spacing w:val="-2"/>
              </w:rPr>
              <w:t xml:space="preserve"> wpływ takich wniosków zadeklarowało tylko blisko 270 podmiotów</w:t>
            </w:r>
            <w:r w:rsidR="006F7D74" w:rsidRPr="00957B06">
              <w:rPr>
                <w:rFonts w:cs="Calibri"/>
                <w:color w:val="000000"/>
                <w:spacing w:val="-2"/>
              </w:rPr>
              <w:t>.</w:t>
            </w:r>
            <w:r w:rsidR="001B1154" w:rsidRPr="00957B06">
              <w:rPr>
                <w:rFonts w:cs="Calibri"/>
                <w:color w:val="000000"/>
                <w:spacing w:val="-2"/>
              </w:rPr>
              <w:t xml:space="preserve"> </w:t>
            </w:r>
            <w:r w:rsidR="00965F40" w:rsidRPr="00957B06">
              <w:rPr>
                <w:rFonts w:cs="Calibri"/>
                <w:color w:val="000000"/>
                <w:spacing w:val="-2"/>
              </w:rPr>
              <w:t xml:space="preserve">Co pokazuje że być może instrument ten nie jest poprawnie zaadresowany w ustawie i mógłby być uprawnieniem zgłaszanym „na żądanie” zamiast stanowić element obligatoryjny wymagań minimalny w każdym podmiocie publicznym. </w:t>
            </w:r>
            <w:r w:rsidR="001B1154" w:rsidRPr="00957B06">
              <w:rPr>
                <w:rFonts w:cs="Calibri"/>
                <w:color w:val="000000"/>
                <w:spacing w:val="-2"/>
              </w:rPr>
              <w:t>Niewielka jest także nadal skala wykorzystania PJM w podmiotach publicznych. W 2025 r</w:t>
            </w:r>
            <w:r w:rsidR="00ED153F" w:rsidRPr="00957B06">
              <w:rPr>
                <w:rFonts w:cs="Calibri"/>
                <w:color w:val="000000"/>
                <w:spacing w:val="-2"/>
              </w:rPr>
              <w:t>.</w:t>
            </w:r>
            <w:r w:rsidR="001B1154" w:rsidRPr="00957B06">
              <w:rPr>
                <w:rFonts w:cs="Calibri"/>
                <w:color w:val="000000"/>
                <w:spacing w:val="-2"/>
              </w:rPr>
              <w:t xml:space="preserve"> tylko 17% podmiotów które złożyły raport zapewnia osobisty kontakt z tłumaczem PJM</w:t>
            </w:r>
            <w:r w:rsidR="00887AA7" w:rsidRPr="00957B06">
              <w:rPr>
                <w:rFonts w:cs="Calibri"/>
                <w:color w:val="000000"/>
                <w:spacing w:val="-2"/>
              </w:rPr>
              <w:t xml:space="preserve"> (w 2021 r. 14, 3%)</w:t>
            </w:r>
            <w:r w:rsidR="001B1154" w:rsidRPr="00957B06">
              <w:rPr>
                <w:rFonts w:cs="Calibri"/>
                <w:color w:val="000000"/>
                <w:spacing w:val="-2"/>
              </w:rPr>
              <w:t xml:space="preserve"> a 10% zapewnia wykorzystania PJM przez stronę internetową</w:t>
            </w:r>
            <w:r w:rsidR="00887AA7" w:rsidRPr="00957B06">
              <w:rPr>
                <w:rFonts w:cs="Calibri"/>
                <w:color w:val="000000"/>
                <w:spacing w:val="-2"/>
              </w:rPr>
              <w:t xml:space="preserve"> (w 2021 - tylko 5%)</w:t>
            </w:r>
            <w:r w:rsidR="008167FF" w:rsidRPr="00957B06">
              <w:rPr>
                <w:rFonts w:cs="Calibri"/>
                <w:color w:val="000000"/>
                <w:spacing w:val="-2"/>
              </w:rPr>
              <w:t>.</w:t>
            </w:r>
          </w:p>
          <w:p w14:paraId="5BFC7278" w14:textId="4F9BD615" w:rsidR="001B1154" w:rsidRPr="00957B06" w:rsidRDefault="00BC3856">
            <w:pPr>
              <w:widowControl/>
              <w:autoSpaceDE/>
              <w:autoSpaceDN/>
              <w:spacing w:after="160" w:line="259" w:lineRule="auto"/>
              <w:ind w:left="289" w:hanging="289"/>
              <w:contextualSpacing/>
              <w:rPr>
                <w:rFonts w:cs="Calibri"/>
                <w:color w:val="000000"/>
                <w:spacing w:val="-2"/>
              </w:rPr>
            </w:pPr>
            <w:r w:rsidRPr="00957B06">
              <w:rPr>
                <w:rFonts w:cs="Calibri"/>
                <w:color w:val="000000"/>
                <w:spacing w:val="-2"/>
              </w:rPr>
              <w:t xml:space="preserve"> </w:t>
            </w:r>
            <w:r w:rsidR="001B1154" w:rsidRPr="00957B06">
              <w:rPr>
                <w:rFonts w:cs="Calibri"/>
                <w:color w:val="000000"/>
                <w:spacing w:val="-2"/>
              </w:rPr>
              <w:t>(7)</w:t>
            </w:r>
          </w:p>
          <w:p w14:paraId="0C0D7857" w14:textId="353DD9B3" w:rsidR="00133790" w:rsidRPr="00957B06" w:rsidRDefault="001B1154" w:rsidP="00BC3856">
            <w:pPr>
              <w:widowControl/>
              <w:autoSpaceDE/>
              <w:autoSpaceDN/>
              <w:spacing w:after="160" w:line="259" w:lineRule="auto"/>
              <w:contextualSpacing/>
              <w:rPr>
                <w:rFonts w:cs="Calibri"/>
                <w:color w:val="000000"/>
                <w:spacing w:val="-2"/>
              </w:rPr>
            </w:pPr>
            <w:r w:rsidRPr="00957B06">
              <w:rPr>
                <w:rFonts w:cs="Calibri"/>
                <w:color w:val="000000"/>
                <w:spacing w:val="-2"/>
              </w:rPr>
              <w:t>D</w:t>
            </w:r>
            <w:r w:rsidR="006F7D74" w:rsidRPr="00957B06">
              <w:rPr>
                <w:rFonts w:cs="Calibri"/>
                <w:color w:val="000000"/>
                <w:spacing w:val="-2"/>
              </w:rPr>
              <w:t>ziałani</w:t>
            </w:r>
            <w:r w:rsidRPr="00957B06">
              <w:rPr>
                <w:rFonts w:cs="Calibri"/>
                <w:color w:val="000000"/>
                <w:spacing w:val="-2"/>
              </w:rPr>
              <w:t xml:space="preserve">ami </w:t>
            </w:r>
            <w:r w:rsidR="00887AA7" w:rsidRPr="00957B06">
              <w:rPr>
                <w:rFonts w:cs="Calibri"/>
                <w:color w:val="000000"/>
                <w:spacing w:val="-2"/>
              </w:rPr>
              <w:t xml:space="preserve">programu </w:t>
            </w:r>
            <w:r w:rsidR="006F7D74" w:rsidRPr="00957B06">
              <w:rPr>
                <w:rFonts w:cs="Calibri"/>
                <w:color w:val="000000"/>
                <w:spacing w:val="-2"/>
              </w:rPr>
              <w:t>wspierając</w:t>
            </w:r>
            <w:r w:rsidRPr="00957B06">
              <w:rPr>
                <w:rFonts w:cs="Calibri"/>
                <w:color w:val="000000"/>
                <w:spacing w:val="-2"/>
              </w:rPr>
              <w:t>ymi</w:t>
            </w:r>
            <w:r w:rsidR="006F7D74" w:rsidRPr="00957B06">
              <w:rPr>
                <w:rFonts w:cs="Calibri"/>
                <w:color w:val="000000"/>
                <w:spacing w:val="-2"/>
              </w:rPr>
              <w:t xml:space="preserve"> osiągnięcie skutków społecznych </w:t>
            </w:r>
            <w:r w:rsidR="00887AA7" w:rsidRPr="00957B06">
              <w:rPr>
                <w:rFonts w:cs="Calibri"/>
                <w:color w:val="000000"/>
                <w:spacing w:val="-2"/>
              </w:rPr>
              <w:t xml:space="preserve">w obszarze </w:t>
            </w:r>
            <w:r w:rsidR="00B70103" w:rsidRPr="00957B06">
              <w:rPr>
                <w:rFonts w:cs="Calibri"/>
                <w:color w:val="000000"/>
                <w:spacing w:val="-2"/>
              </w:rPr>
              <w:t xml:space="preserve">kultury </w:t>
            </w:r>
            <w:r w:rsidR="00887AA7" w:rsidRPr="00957B06">
              <w:rPr>
                <w:rFonts w:cs="Calibri"/>
                <w:color w:val="000000"/>
                <w:spacing w:val="-2"/>
              </w:rPr>
              <w:t xml:space="preserve">są te </w:t>
            </w:r>
            <w:r w:rsidRPr="00957B06">
              <w:rPr>
                <w:rFonts w:cs="Calibri"/>
                <w:color w:val="000000"/>
                <w:spacing w:val="-2"/>
              </w:rPr>
              <w:t xml:space="preserve">polegające m.in. na </w:t>
            </w:r>
            <w:r w:rsidR="00B70103" w:rsidRPr="00957B06">
              <w:rPr>
                <w:rFonts w:cs="Calibri"/>
                <w:color w:val="000000"/>
                <w:spacing w:val="-2"/>
              </w:rPr>
              <w:t>o</w:t>
            </w:r>
            <w:r w:rsidR="00075EFC" w:rsidRPr="00957B06">
              <w:rPr>
                <w:rFonts w:cs="Calibri"/>
                <w:color w:val="000000"/>
                <w:spacing w:val="-2"/>
              </w:rPr>
              <w:t>pracowan</w:t>
            </w:r>
            <w:r w:rsidR="00B70103" w:rsidRPr="00957B06">
              <w:rPr>
                <w:rFonts w:cs="Calibri"/>
                <w:color w:val="000000"/>
                <w:spacing w:val="-2"/>
              </w:rPr>
              <w:t>i</w:t>
            </w:r>
            <w:r w:rsidRPr="00957B06">
              <w:rPr>
                <w:rFonts w:cs="Calibri"/>
                <w:color w:val="000000"/>
                <w:spacing w:val="-2"/>
              </w:rPr>
              <w:t>u</w:t>
            </w:r>
            <w:r w:rsidR="00B70103" w:rsidRPr="00957B06">
              <w:rPr>
                <w:rFonts w:cs="Calibri"/>
                <w:color w:val="000000"/>
                <w:spacing w:val="-2"/>
              </w:rPr>
              <w:t xml:space="preserve"> </w:t>
            </w:r>
            <w:r w:rsidR="00C84E89" w:rsidRPr="00957B06">
              <w:rPr>
                <w:rFonts w:cs="Calibri"/>
                <w:color w:val="000000"/>
                <w:spacing w:val="-2"/>
              </w:rPr>
              <w:t>modelu dostępnej</w:t>
            </w:r>
            <w:r w:rsidRPr="00957B06">
              <w:rPr>
                <w:rFonts w:cs="Calibri"/>
                <w:color w:val="000000"/>
                <w:spacing w:val="-2"/>
              </w:rPr>
              <w:t xml:space="preserve"> instytucji </w:t>
            </w:r>
            <w:r w:rsidR="00C84E89" w:rsidRPr="00957B06">
              <w:rPr>
                <w:rFonts w:cs="Calibri"/>
                <w:color w:val="000000"/>
                <w:spacing w:val="-2"/>
              </w:rPr>
              <w:t xml:space="preserve">kultury zawierającego </w:t>
            </w:r>
            <w:r w:rsidR="00075EFC" w:rsidRPr="00957B06">
              <w:rPr>
                <w:rFonts w:cs="Calibri"/>
                <w:color w:val="000000"/>
                <w:spacing w:val="-2"/>
              </w:rPr>
              <w:t>wskazówk</w:t>
            </w:r>
            <w:r w:rsidR="00C84E89" w:rsidRPr="00957B06">
              <w:rPr>
                <w:rFonts w:cs="Calibri"/>
                <w:color w:val="000000"/>
                <w:spacing w:val="-2"/>
              </w:rPr>
              <w:t xml:space="preserve">i </w:t>
            </w:r>
            <w:r w:rsidRPr="00957B06">
              <w:rPr>
                <w:rFonts w:cs="Calibri"/>
                <w:color w:val="000000"/>
                <w:spacing w:val="-2"/>
              </w:rPr>
              <w:t xml:space="preserve">dla poprawy dostępności budynków instytucji </w:t>
            </w:r>
            <w:r w:rsidR="00075EFC" w:rsidRPr="00957B06">
              <w:rPr>
                <w:rFonts w:cs="Calibri"/>
                <w:color w:val="000000"/>
                <w:spacing w:val="-2"/>
              </w:rPr>
              <w:t>kultury jak i</w:t>
            </w:r>
            <w:r w:rsidRPr="00957B06">
              <w:rPr>
                <w:rFonts w:cs="Calibri"/>
                <w:color w:val="000000"/>
                <w:spacing w:val="-2"/>
              </w:rPr>
              <w:t xml:space="preserve"> ich </w:t>
            </w:r>
            <w:r w:rsidR="00075EFC" w:rsidRPr="00957B06">
              <w:rPr>
                <w:rFonts w:cs="Calibri"/>
                <w:color w:val="000000"/>
                <w:spacing w:val="-2"/>
              </w:rPr>
              <w:t>oferty</w:t>
            </w:r>
            <w:r w:rsidR="00887AA7" w:rsidRPr="00957B06">
              <w:rPr>
                <w:rFonts w:cs="Calibri"/>
                <w:color w:val="000000"/>
                <w:spacing w:val="-2"/>
              </w:rPr>
              <w:t xml:space="preserve"> oraz liczne granty</w:t>
            </w:r>
            <w:r w:rsidR="00965F40" w:rsidRPr="00957B06">
              <w:rPr>
                <w:rFonts w:cs="Calibri"/>
                <w:color w:val="000000"/>
                <w:spacing w:val="-2"/>
              </w:rPr>
              <w:t xml:space="preserve"> finansowe </w:t>
            </w:r>
            <w:r w:rsidR="00887AA7" w:rsidRPr="00957B06">
              <w:rPr>
                <w:rFonts w:cs="Calibri"/>
                <w:color w:val="000000"/>
                <w:spacing w:val="-2"/>
              </w:rPr>
              <w:t>dla tych instytucji</w:t>
            </w:r>
            <w:r w:rsidRPr="00957B06">
              <w:rPr>
                <w:rFonts w:cs="Calibri"/>
                <w:color w:val="000000"/>
                <w:spacing w:val="-2"/>
              </w:rPr>
              <w:t xml:space="preserve">. </w:t>
            </w:r>
            <w:r w:rsidR="00965F40" w:rsidRPr="00957B06">
              <w:rPr>
                <w:rFonts w:cs="Calibri"/>
                <w:color w:val="000000"/>
                <w:spacing w:val="-2"/>
              </w:rPr>
              <w:t xml:space="preserve">     Szacuje się że w </w:t>
            </w:r>
            <w:r w:rsidR="00887AA7" w:rsidRPr="00957B06">
              <w:rPr>
                <w:rFonts w:cs="Calibri"/>
                <w:color w:val="000000"/>
                <w:spacing w:val="-2"/>
              </w:rPr>
              <w:t>latach 2019 – 2025 r. wsparcie na poprawę dostępnoś</w:t>
            </w:r>
            <w:r w:rsidR="00965F40" w:rsidRPr="00957B06">
              <w:rPr>
                <w:rFonts w:cs="Calibri"/>
                <w:color w:val="000000"/>
                <w:spacing w:val="-2"/>
              </w:rPr>
              <w:t xml:space="preserve">ci kultury </w:t>
            </w:r>
            <w:r w:rsidR="00887AA7" w:rsidRPr="00957B06">
              <w:rPr>
                <w:rFonts w:cs="Calibri"/>
                <w:color w:val="000000"/>
                <w:spacing w:val="-2"/>
              </w:rPr>
              <w:t>uzyskało ok</w:t>
            </w:r>
            <w:r w:rsidR="002D4DBD" w:rsidRPr="00957B06">
              <w:rPr>
                <w:rFonts w:cs="Calibri"/>
                <w:color w:val="000000"/>
                <w:spacing w:val="-2"/>
              </w:rPr>
              <w:t xml:space="preserve">. 716 </w:t>
            </w:r>
            <w:r w:rsidR="00887AA7" w:rsidRPr="00957B06">
              <w:rPr>
                <w:rFonts w:cs="Calibri"/>
                <w:color w:val="000000"/>
                <w:spacing w:val="-2"/>
              </w:rPr>
              <w:t>instytucji kultury</w:t>
            </w:r>
            <w:r w:rsidR="00C84E89" w:rsidRPr="00957B06">
              <w:rPr>
                <w:rFonts w:cs="Calibri"/>
                <w:color w:val="000000"/>
                <w:spacing w:val="-2"/>
              </w:rPr>
              <w:t xml:space="preserve">. </w:t>
            </w:r>
            <w:r w:rsidR="00075EFC" w:rsidRPr="00957B06">
              <w:rPr>
                <w:rFonts w:cs="Calibri"/>
                <w:color w:val="000000"/>
                <w:spacing w:val="-2"/>
              </w:rPr>
              <w:br/>
            </w:r>
            <w:r w:rsidR="00C84E89" w:rsidRPr="00957B06">
              <w:rPr>
                <w:rFonts w:cs="Calibri"/>
                <w:color w:val="000000"/>
                <w:spacing w:val="-2"/>
              </w:rPr>
              <w:t>Z informacji posiadanych przez MFIPR wynika także</w:t>
            </w:r>
            <w:r w:rsidR="00965F40" w:rsidRPr="00957B06">
              <w:rPr>
                <w:rFonts w:cs="Calibri"/>
                <w:color w:val="000000"/>
                <w:spacing w:val="-2"/>
              </w:rPr>
              <w:t>,</w:t>
            </w:r>
            <w:r w:rsidR="00C84E89" w:rsidRPr="00957B06">
              <w:rPr>
                <w:rFonts w:cs="Calibri"/>
                <w:color w:val="000000"/>
                <w:spacing w:val="-2"/>
              </w:rPr>
              <w:t xml:space="preserve"> że wiele </w:t>
            </w:r>
            <w:r w:rsidR="00075EFC" w:rsidRPr="00957B06">
              <w:rPr>
                <w:rFonts w:cs="Calibri"/>
                <w:color w:val="000000"/>
                <w:spacing w:val="-2"/>
              </w:rPr>
              <w:t xml:space="preserve"> </w:t>
            </w:r>
            <w:r w:rsidR="00C84E89" w:rsidRPr="00957B06">
              <w:rPr>
                <w:rFonts w:cs="Calibri"/>
                <w:color w:val="000000"/>
                <w:spacing w:val="-2"/>
              </w:rPr>
              <w:t xml:space="preserve">instytucji kultury mimo </w:t>
            </w:r>
            <w:r w:rsidR="00075EFC" w:rsidRPr="00957B06">
              <w:rPr>
                <w:rFonts w:cs="Calibri"/>
                <w:color w:val="000000"/>
                <w:spacing w:val="-2"/>
              </w:rPr>
              <w:t>braku obowiązku wynikającego z przepisów prawa</w:t>
            </w:r>
            <w:r w:rsidR="00C84E89" w:rsidRPr="00957B06">
              <w:rPr>
                <w:rFonts w:cs="Calibri"/>
                <w:color w:val="000000"/>
                <w:spacing w:val="-2"/>
              </w:rPr>
              <w:t xml:space="preserve"> (art. 14) wyznacza </w:t>
            </w:r>
            <w:r w:rsidR="00965F40" w:rsidRPr="00957B06">
              <w:rPr>
                <w:rFonts w:cs="Calibri"/>
                <w:color w:val="000000"/>
                <w:spacing w:val="-2"/>
              </w:rPr>
              <w:t>np.</w:t>
            </w:r>
            <w:r w:rsidR="00075EFC" w:rsidRPr="00957B06">
              <w:rPr>
                <w:rFonts w:cs="Calibri"/>
                <w:color w:val="000000"/>
                <w:spacing w:val="-2"/>
              </w:rPr>
              <w:t xml:space="preserve"> koordynatora </w:t>
            </w:r>
            <w:r w:rsidR="00C84E89" w:rsidRPr="00957B06">
              <w:rPr>
                <w:rFonts w:cs="Calibri"/>
                <w:color w:val="000000"/>
                <w:spacing w:val="-2"/>
              </w:rPr>
              <w:t>d</w:t>
            </w:r>
            <w:r w:rsidR="00592768" w:rsidRPr="00957B06">
              <w:rPr>
                <w:rFonts w:cs="Calibri"/>
                <w:color w:val="000000"/>
                <w:spacing w:val="-2"/>
              </w:rPr>
              <w:t>s</w:t>
            </w:r>
            <w:r w:rsidR="00C84E89" w:rsidRPr="00957B06">
              <w:rPr>
                <w:rFonts w:cs="Calibri"/>
                <w:color w:val="000000"/>
                <w:spacing w:val="-2"/>
              </w:rPr>
              <w:t xml:space="preserve">. </w:t>
            </w:r>
            <w:r w:rsidR="00075EFC" w:rsidRPr="00957B06">
              <w:rPr>
                <w:rFonts w:cs="Calibri"/>
                <w:color w:val="000000"/>
                <w:spacing w:val="-2"/>
              </w:rPr>
              <w:t>dostępności</w:t>
            </w:r>
            <w:r w:rsidR="00965F40" w:rsidRPr="00957B06">
              <w:rPr>
                <w:rFonts w:cs="Calibri"/>
                <w:color w:val="000000"/>
                <w:spacing w:val="-2"/>
              </w:rPr>
              <w:t xml:space="preserve">, co znacząco podnosi jakość i </w:t>
            </w:r>
            <w:r w:rsidR="002D4DBD" w:rsidRPr="00957B06">
              <w:rPr>
                <w:rFonts w:cs="Calibri"/>
                <w:color w:val="000000"/>
                <w:spacing w:val="-2"/>
              </w:rPr>
              <w:t>dostępność</w:t>
            </w:r>
            <w:r w:rsidR="00965F40" w:rsidRPr="00957B06">
              <w:rPr>
                <w:rFonts w:cs="Calibri"/>
                <w:color w:val="000000"/>
                <w:spacing w:val="-2"/>
              </w:rPr>
              <w:t xml:space="preserve"> realizowanych przez nie zadań.</w:t>
            </w:r>
            <w:r w:rsidR="002D4DBD" w:rsidRPr="00957B06">
              <w:rPr>
                <w:rFonts w:cs="Calibri"/>
                <w:color w:val="000000"/>
                <w:spacing w:val="-2"/>
              </w:rPr>
              <w:t xml:space="preserve"> Jednocześnie z wyników raportowania stanu dostępności w 2025 r. wynika</w:t>
            </w:r>
            <w:r w:rsidR="00885285" w:rsidRPr="00957B06">
              <w:rPr>
                <w:rFonts w:cs="Calibri"/>
                <w:color w:val="000000"/>
                <w:spacing w:val="-2"/>
              </w:rPr>
              <w:t xml:space="preserve">, </w:t>
            </w:r>
            <w:r w:rsidR="002D4DBD" w:rsidRPr="00957B06">
              <w:rPr>
                <w:rFonts w:cs="Calibri"/>
                <w:color w:val="000000"/>
                <w:spacing w:val="-2"/>
              </w:rPr>
              <w:t xml:space="preserve"> że podmioty publiczne zaliczane do sektora kultury uzyskały najniższy średni wskaźnik dostępności (31%) spośród </w:t>
            </w:r>
            <w:r w:rsidR="003A7E8F" w:rsidRPr="00957B06">
              <w:rPr>
                <w:rFonts w:cs="Calibri"/>
                <w:color w:val="000000"/>
                <w:spacing w:val="-2"/>
              </w:rPr>
              <w:t xml:space="preserve">7 </w:t>
            </w:r>
            <w:r w:rsidR="002D4DBD" w:rsidRPr="00957B06">
              <w:rPr>
                <w:rFonts w:cs="Calibri"/>
                <w:color w:val="000000"/>
                <w:spacing w:val="-2"/>
              </w:rPr>
              <w:t>badanych kategorii podmiotów</w:t>
            </w:r>
            <w:r w:rsidR="00885285" w:rsidRPr="00957B06">
              <w:rPr>
                <w:rFonts w:cs="Calibri"/>
                <w:color w:val="000000"/>
                <w:spacing w:val="-2"/>
              </w:rPr>
              <w:t xml:space="preserve">. </w:t>
            </w:r>
            <w:r w:rsidR="002D4DBD" w:rsidRPr="00957B06">
              <w:rPr>
                <w:rFonts w:cs="Calibri"/>
                <w:color w:val="000000"/>
                <w:spacing w:val="-2"/>
              </w:rPr>
              <w:t xml:space="preserve">  </w:t>
            </w:r>
            <w:r w:rsidR="00965F40" w:rsidRPr="00957B06">
              <w:rPr>
                <w:rFonts w:cs="Calibri"/>
                <w:color w:val="000000"/>
                <w:spacing w:val="-2"/>
              </w:rPr>
              <w:t xml:space="preserve"> </w:t>
            </w:r>
          </w:p>
          <w:p w14:paraId="41140859" w14:textId="2870B753" w:rsidR="00636A72" w:rsidRPr="00957B06" w:rsidRDefault="00BC3856" w:rsidP="00CF233B">
            <w:pPr>
              <w:rPr>
                <w:rFonts w:cs="Calibri"/>
                <w:color w:val="000000"/>
                <w:spacing w:val="-2"/>
              </w:rPr>
            </w:pPr>
            <w:r w:rsidRPr="00957B06">
              <w:rPr>
                <w:rFonts w:cs="Calibri"/>
                <w:color w:val="000000"/>
                <w:spacing w:val="-2"/>
              </w:rPr>
              <w:t xml:space="preserve"> </w:t>
            </w:r>
            <w:r w:rsidR="00636A72" w:rsidRPr="00957B06">
              <w:rPr>
                <w:rFonts w:cs="Calibri"/>
                <w:color w:val="000000"/>
                <w:spacing w:val="-2"/>
              </w:rPr>
              <w:t>(8)</w:t>
            </w:r>
          </w:p>
          <w:p w14:paraId="49AA2C93" w14:textId="138DD69F" w:rsidR="00636A72" w:rsidRPr="00957B06" w:rsidRDefault="00616EEA" w:rsidP="00BC3856">
            <w:pPr>
              <w:rPr>
                <w:rFonts w:cs="Calibri"/>
                <w:color w:val="000000"/>
                <w:spacing w:val="-2"/>
              </w:rPr>
            </w:pPr>
            <w:r w:rsidRPr="00957B06">
              <w:rPr>
                <w:rFonts w:cs="Calibri"/>
                <w:color w:val="000000"/>
                <w:spacing w:val="-2"/>
              </w:rPr>
              <w:t xml:space="preserve">Budowa kompetencji i zdolności </w:t>
            </w:r>
            <w:proofErr w:type="spellStart"/>
            <w:r w:rsidRPr="00957B06">
              <w:rPr>
                <w:rFonts w:cs="Calibri"/>
                <w:color w:val="000000"/>
                <w:spacing w:val="-2"/>
              </w:rPr>
              <w:t>NGO</w:t>
            </w:r>
            <w:r w:rsidR="00965F40" w:rsidRPr="00957B06">
              <w:rPr>
                <w:rFonts w:cs="Calibri"/>
                <w:color w:val="000000"/>
                <w:spacing w:val="-2"/>
              </w:rPr>
              <w:t>’</w:t>
            </w:r>
            <w:r w:rsidRPr="00957B06">
              <w:rPr>
                <w:rFonts w:cs="Calibri"/>
                <w:color w:val="000000"/>
                <w:spacing w:val="-2"/>
              </w:rPr>
              <w:t>s</w:t>
            </w:r>
            <w:proofErr w:type="spellEnd"/>
            <w:r w:rsidRPr="00957B06">
              <w:rPr>
                <w:rFonts w:cs="Calibri"/>
                <w:color w:val="000000"/>
                <w:spacing w:val="-2"/>
              </w:rPr>
              <w:t xml:space="preserve"> do wspierania środowisk osób z niepełnosprawnościami czy podmiotów prywatnych we wdrażaniu dostępnoś</w:t>
            </w:r>
            <w:r w:rsidR="00636A72" w:rsidRPr="00957B06">
              <w:rPr>
                <w:rFonts w:cs="Calibri"/>
                <w:color w:val="000000"/>
                <w:spacing w:val="-2"/>
              </w:rPr>
              <w:t>ci jest także elementem wsparcia ww. programu</w:t>
            </w:r>
            <w:r w:rsidR="00965F40" w:rsidRPr="00957B06">
              <w:rPr>
                <w:rFonts w:cs="Calibri"/>
                <w:color w:val="000000"/>
                <w:spacing w:val="-2"/>
              </w:rPr>
              <w:t>.</w:t>
            </w:r>
            <w:r w:rsidR="00636A72" w:rsidRPr="00957B06">
              <w:rPr>
                <w:rFonts w:cs="Calibri"/>
                <w:color w:val="000000"/>
                <w:spacing w:val="-2"/>
              </w:rPr>
              <w:t xml:space="preserve"> </w:t>
            </w:r>
            <w:r w:rsidR="00965F40" w:rsidRPr="00957B06">
              <w:rPr>
                <w:rFonts w:cs="Calibri"/>
                <w:color w:val="000000"/>
                <w:spacing w:val="-2"/>
              </w:rPr>
              <w:t>D</w:t>
            </w:r>
            <w:r w:rsidR="00636A72" w:rsidRPr="00957B06">
              <w:rPr>
                <w:rFonts w:cs="Calibri"/>
                <w:color w:val="000000"/>
                <w:spacing w:val="-2"/>
              </w:rPr>
              <w:t xml:space="preserve">o </w:t>
            </w:r>
            <w:r w:rsidR="00631BF0" w:rsidRPr="00957B06">
              <w:rPr>
                <w:rFonts w:cs="Calibri"/>
                <w:color w:val="000000"/>
                <w:spacing w:val="-2"/>
              </w:rPr>
              <w:t>końca 2024 r</w:t>
            </w:r>
            <w:r w:rsidR="007A36C8" w:rsidRPr="00957B06">
              <w:rPr>
                <w:rFonts w:cs="Calibri"/>
                <w:color w:val="000000"/>
                <w:spacing w:val="-2"/>
              </w:rPr>
              <w:t>.</w:t>
            </w:r>
            <w:r w:rsidR="00631BF0" w:rsidRPr="00957B06">
              <w:rPr>
                <w:rFonts w:cs="Calibri"/>
                <w:color w:val="000000"/>
                <w:spacing w:val="-2"/>
              </w:rPr>
              <w:t xml:space="preserve"> ponad 130 organizacji pozarządowych i partnerów społecznych zostało przeszkolonych w zakresie monitorowania prawa pod kątem dostępności lub prowadzenia audytów </w:t>
            </w:r>
            <w:r w:rsidR="00592768" w:rsidRPr="00957B06">
              <w:rPr>
                <w:rFonts w:cs="Calibri"/>
                <w:color w:val="000000"/>
                <w:spacing w:val="-2"/>
              </w:rPr>
              <w:t>dostępności</w:t>
            </w:r>
            <w:r w:rsidR="00631BF0" w:rsidRPr="00957B06">
              <w:rPr>
                <w:rFonts w:cs="Calibri"/>
                <w:color w:val="000000"/>
                <w:spacing w:val="-2"/>
              </w:rPr>
              <w:t xml:space="preserve"> czy tworzenia napisów na żywo</w:t>
            </w:r>
            <w:r w:rsidR="00636A72" w:rsidRPr="00957B06">
              <w:rPr>
                <w:rFonts w:cs="Calibri"/>
                <w:color w:val="000000"/>
                <w:spacing w:val="-2"/>
              </w:rPr>
              <w:t xml:space="preserve">. </w:t>
            </w:r>
            <w:r w:rsidR="00675E9C" w:rsidRPr="00957B06">
              <w:rPr>
                <w:rFonts w:cs="Calibri"/>
                <w:color w:val="000000"/>
                <w:spacing w:val="-2"/>
              </w:rPr>
              <w:t>W</w:t>
            </w:r>
            <w:r w:rsidR="00636A72" w:rsidRPr="00957B06">
              <w:rPr>
                <w:rFonts w:cs="Calibri"/>
                <w:color w:val="000000"/>
                <w:spacing w:val="-2"/>
              </w:rPr>
              <w:t>sparci</w:t>
            </w:r>
            <w:r w:rsidR="00675E9C" w:rsidRPr="00957B06">
              <w:rPr>
                <w:rFonts w:cs="Calibri"/>
                <w:color w:val="000000"/>
                <w:spacing w:val="-2"/>
              </w:rPr>
              <w:t xml:space="preserve">e  o podobnym charakterze jest kontynuowane w </w:t>
            </w:r>
            <w:r w:rsidR="00965F40" w:rsidRPr="00957B06">
              <w:rPr>
                <w:rFonts w:cs="Calibri"/>
                <w:color w:val="000000"/>
                <w:spacing w:val="-2"/>
              </w:rPr>
              <w:t>kolejnych konkursach z funduszy europejskich</w:t>
            </w:r>
            <w:r w:rsidR="00895546" w:rsidRPr="00957B06">
              <w:rPr>
                <w:rFonts w:cs="Calibri"/>
                <w:color w:val="000000"/>
                <w:spacing w:val="-2"/>
              </w:rPr>
              <w:t xml:space="preserve"> w latach  2021- 2027</w:t>
            </w:r>
            <w:r w:rsidR="00965F40" w:rsidRPr="00957B06">
              <w:rPr>
                <w:rFonts w:cs="Calibri"/>
                <w:color w:val="000000"/>
                <w:spacing w:val="-2"/>
              </w:rPr>
              <w:t xml:space="preserve">. </w:t>
            </w:r>
          </w:p>
          <w:p w14:paraId="359C5B96" w14:textId="77777777" w:rsidR="00636A72" w:rsidRPr="00957B06" w:rsidRDefault="00636A72" w:rsidP="00CF233B">
            <w:pPr>
              <w:ind w:left="143"/>
              <w:rPr>
                <w:rFonts w:cs="Calibri"/>
                <w:color w:val="000000"/>
                <w:spacing w:val="-2"/>
              </w:rPr>
            </w:pPr>
          </w:p>
          <w:p w14:paraId="635D2D14" w14:textId="04B647FA" w:rsidR="00616EEA" w:rsidRPr="00957B06" w:rsidRDefault="00636A72" w:rsidP="00BC3856">
            <w:pPr>
              <w:rPr>
                <w:rFonts w:cs="Calibri"/>
                <w:color w:val="000000"/>
                <w:spacing w:val="-2"/>
              </w:rPr>
            </w:pPr>
            <w:r w:rsidRPr="00957B06">
              <w:rPr>
                <w:rFonts w:cs="Calibri"/>
                <w:color w:val="000000"/>
                <w:spacing w:val="-2"/>
              </w:rPr>
              <w:t xml:space="preserve">Jednocześnie mechanizmy skierowane do NGO ujęte w samej  </w:t>
            </w:r>
            <w:r w:rsidR="00675E9C" w:rsidRPr="00957B06">
              <w:rPr>
                <w:rFonts w:cs="Calibri"/>
                <w:color w:val="000000"/>
                <w:spacing w:val="-2"/>
              </w:rPr>
              <w:t xml:space="preserve">UZD </w:t>
            </w:r>
            <w:r w:rsidRPr="00957B06">
              <w:rPr>
                <w:rFonts w:cs="Calibri"/>
                <w:color w:val="000000"/>
                <w:spacing w:val="-2"/>
              </w:rPr>
              <w:t xml:space="preserve">są w niewielkim stopniu wykorzystywane – NGO nie </w:t>
            </w:r>
            <w:r w:rsidR="00965F40" w:rsidRPr="00957B06">
              <w:rPr>
                <w:rFonts w:cs="Calibri"/>
                <w:color w:val="000000"/>
                <w:spacing w:val="-2"/>
              </w:rPr>
              <w:t xml:space="preserve">sięgają po </w:t>
            </w:r>
            <w:r w:rsidR="00965F40" w:rsidRPr="00957B06">
              <w:rPr>
                <w:rFonts w:cs="Calibri"/>
                <w:color w:val="000000"/>
                <w:spacing w:val="-2"/>
              </w:rPr>
              <w:lastRenderedPageBreak/>
              <w:t>certyfikat</w:t>
            </w:r>
            <w:r w:rsidRPr="00957B06">
              <w:rPr>
                <w:rFonts w:cs="Calibri"/>
                <w:color w:val="000000"/>
                <w:spacing w:val="-2"/>
              </w:rPr>
              <w:t xml:space="preserve"> dostępności o który</w:t>
            </w:r>
            <w:r w:rsidR="00965F40" w:rsidRPr="00957B06">
              <w:rPr>
                <w:rFonts w:cs="Calibri"/>
                <w:color w:val="000000"/>
                <w:spacing w:val="-2"/>
              </w:rPr>
              <w:t>m</w:t>
            </w:r>
            <w:r w:rsidRPr="00957B06">
              <w:rPr>
                <w:rFonts w:cs="Calibri"/>
                <w:color w:val="000000"/>
                <w:spacing w:val="-2"/>
              </w:rPr>
              <w:t xml:space="preserve"> mowa w art. 19 ustawy</w:t>
            </w:r>
            <w:r w:rsidR="00965F40" w:rsidRPr="00957B06">
              <w:rPr>
                <w:rFonts w:cs="Calibri"/>
                <w:color w:val="000000"/>
                <w:spacing w:val="-2"/>
              </w:rPr>
              <w:t>, czego główną przyczyną jest brak realnych zachęt by takiej certyfikacji się poddać</w:t>
            </w:r>
            <w:r w:rsidRPr="00957B06">
              <w:rPr>
                <w:rFonts w:cs="Calibri"/>
                <w:color w:val="000000"/>
                <w:spacing w:val="-2"/>
              </w:rPr>
              <w:t>. Dodatkowo</w:t>
            </w:r>
            <w:r w:rsidR="00965F40" w:rsidRPr="00957B06">
              <w:rPr>
                <w:rFonts w:cs="Calibri"/>
                <w:color w:val="000000"/>
                <w:spacing w:val="-2"/>
              </w:rPr>
              <w:t>,</w:t>
            </w:r>
            <w:r w:rsidRPr="00957B06">
              <w:rPr>
                <w:rFonts w:cs="Calibri"/>
                <w:color w:val="000000"/>
                <w:spacing w:val="-2"/>
              </w:rPr>
              <w:t xml:space="preserve"> jak potwierdzają wyniki ewaluacji skuteczności wdrażania przepisów ustawy zlecone przez MFIPR  w 2024 r</w:t>
            </w:r>
            <w:r w:rsidR="00E621C3" w:rsidRPr="00467BD3">
              <w:rPr>
                <w:rFonts w:cs="Calibri"/>
                <w:color w:val="000000"/>
                <w:spacing w:val="-2"/>
                <w:vertAlign w:val="superscript"/>
              </w:rPr>
              <w:footnoteReference w:id="7"/>
            </w:r>
            <w:r w:rsidRPr="00467BD3">
              <w:rPr>
                <w:rFonts w:cs="Calibri"/>
                <w:color w:val="000000"/>
                <w:spacing w:val="-2"/>
                <w:vertAlign w:val="superscript"/>
              </w:rPr>
              <w:t>.</w:t>
            </w:r>
            <w:r w:rsidRPr="00957B06">
              <w:rPr>
                <w:rFonts w:cs="Calibri"/>
                <w:color w:val="000000"/>
                <w:spacing w:val="-2"/>
              </w:rPr>
              <w:t xml:space="preserve"> w niewielkim stopniu realizowane są także obowiązk</w:t>
            </w:r>
            <w:r w:rsidR="00965F40" w:rsidRPr="00957B06">
              <w:rPr>
                <w:rFonts w:cs="Calibri"/>
                <w:color w:val="000000"/>
                <w:spacing w:val="-2"/>
              </w:rPr>
              <w:t>i</w:t>
            </w:r>
            <w:r w:rsidRPr="00957B06">
              <w:rPr>
                <w:rFonts w:cs="Calibri"/>
                <w:color w:val="000000"/>
                <w:spacing w:val="-2"/>
              </w:rPr>
              <w:t xml:space="preserve"> podmiotów publicznych związane z określaniem wymagań</w:t>
            </w:r>
            <w:r w:rsidR="00E621C3" w:rsidRPr="00957B06">
              <w:rPr>
                <w:rFonts w:cs="Calibri"/>
                <w:color w:val="000000"/>
                <w:spacing w:val="-2"/>
              </w:rPr>
              <w:t xml:space="preserve"> dostępności które mają być stosowane </w:t>
            </w:r>
            <w:r w:rsidRPr="00957B06">
              <w:rPr>
                <w:rFonts w:cs="Calibri"/>
                <w:color w:val="000000"/>
                <w:spacing w:val="-2"/>
              </w:rPr>
              <w:t>m.in.</w:t>
            </w:r>
            <w:r w:rsidR="00E621C3" w:rsidRPr="00957B06">
              <w:rPr>
                <w:rFonts w:cs="Calibri"/>
                <w:color w:val="000000"/>
                <w:spacing w:val="-2"/>
              </w:rPr>
              <w:t xml:space="preserve"> prze</w:t>
            </w:r>
            <w:r w:rsidR="00675E9C" w:rsidRPr="00957B06">
              <w:rPr>
                <w:rFonts w:cs="Calibri"/>
                <w:color w:val="000000"/>
                <w:spacing w:val="-2"/>
              </w:rPr>
              <w:t>z</w:t>
            </w:r>
            <w:r w:rsidR="00E621C3" w:rsidRPr="00957B06">
              <w:rPr>
                <w:rFonts w:cs="Calibri"/>
                <w:color w:val="000000"/>
                <w:spacing w:val="-2"/>
              </w:rPr>
              <w:t xml:space="preserve"> </w:t>
            </w:r>
            <w:r w:rsidRPr="00957B06">
              <w:rPr>
                <w:rFonts w:cs="Calibri"/>
                <w:color w:val="000000"/>
                <w:spacing w:val="-2"/>
              </w:rPr>
              <w:t>NGO czy innych niepublicznych wykonawców zamówień</w:t>
            </w:r>
            <w:r w:rsidR="00675E9C" w:rsidRPr="00957B06">
              <w:rPr>
                <w:rFonts w:cs="Calibri"/>
                <w:color w:val="000000"/>
                <w:spacing w:val="-2"/>
              </w:rPr>
              <w:t>,</w:t>
            </w:r>
            <w:r w:rsidRPr="00957B06">
              <w:rPr>
                <w:rFonts w:cs="Calibri"/>
                <w:color w:val="000000"/>
                <w:spacing w:val="-2"/>
              </w:rPr>
              <w:t xml:space="preserve"> czy zdań publicznych (art. 4</w:t>
            </w:r>
            <w:r w:rsidR="00E621C3" w:rsidRPr="00957B06">
              <w:rPr>
                <w:rFonts w:cs="Calibri"/>
                <w:color w:val="000000"/>
                <w:spacing w:val="-2"/>
              </w:rPr>
              <w:t xml:space="preserve"> ust 3</w:t>
            </w:r>
            <w:r w:rsidRPr="00957B06">
              <w:rPr>
                <w:rFonts w:cs="Calibri"/>
                <w:color w:val="000000"/>
                <w:spacing w:val="-2"/>
              </w:rPr>
              <w:t>)</w:t>
            </w:r>
            <w:r w:rsidR="00E621C3" w:rsidRPr="00957B06">
              <w:rPr>
                <w:rFonts w:cs="Calibri"/>
                <w:color w:val="000000"/>
                <w:spacing w:val="-2"/>
              </w:rPr>
              <w:t xml:space="preserve">. </w:t>
            </w:r>
            <w:r w:rsidRPr="00957B06">
              <w:rPr>
                <w:rFonts w:cs="Calibri"/>
                <w:color w:val="000000"/>
                <w:spacing w:val="-2"/>
              </w:rPr>
              <w:t xml:space="preserve">  </w:t>
            </w:r>
            <w:r w:rsidR="00631BF0" w:rsidRPr="00957B06">
              <w:rPr>
                <w:rFonts w:cs="Calibri"/>
                <w:color w:val="000000"/>
                <w:spacing w:val="-2"/>
              </w:rPr>
              <w:t xml:space="preserve"> </w:t>
            </w:r>
          </w:p>
          <w:p w14:paraId="4EE9A115" w14:textId="0A817138" w:rsidR="00616EEA" w:rsidRPr="00957B06" w:rsidRDefault="00636A72" w:rsidP="00CF233B">
            <w:pPr>
              <w:ind w:left="143"/>
              <w:rPr>
                <w:rFonts w:cs="Calibri"/>
                <w:color w:val="000000"/>
                <w:spacing w:val="-2"/>
              </w:rPr>
            </w:pPr>
            <w:r w:rsidRPr="00957B06">
              <w:rPr>
                <w:rFonts w:cs="Calibri"/>
                <w:color w:val="000000"/>
                <w:spacing w:val="-2"/>
              </w:rPr>
              <w:t>(9)</w:t>
            </w:r>
          </w:p>
          <w:p w14:paraId="0D696746" w14:textId="77777777" w:rsidR="00722F9F" w:rsidRPr="00957B06" w:rsidRDefault="002064A9" w:rsidP="00722F9F">
            <w:pPr>
              <w:pStyle w:val="Tekstkomentarza"/>
              <w:rPr>
                <w:rFonts w:cs="Calibri"/>
                <w:color w:val="000000"/>
                <w:spacing w:val="-2"/>
                <w:sz w:val="22"/>
                <w:szCs w:val="22"/>
              </w:rPr>
            </w:pPr>
            <w:r w:rsidRPr="00957B06">
              <w:rPr>
                <w:rFonts w:cs="Calibri"/>
                <w:color w:val="000000"/>
                <w:spacing w:val="-2"/>
                <w:sz w:val="22"/>
                <w:szCs w:val="22"/>
              </w:rPr>
              <w:t xml:space="preserve">Nie </w:t>
            </w:r>
            <w:r w:rsidR="00965F40" w:rsidRPr="00957B06">
              <w:rPr>
                <w:rFonts w:cs="Calibri"/>
                <w:color w:val="000000"/>
                <w:spacing w:val="-2"/>
                <w:sz w:val="22"/>
                <w:szCs w:val="22"/>
              </w:rPr>
              <w:t xml:space="preserve">były </w:t>
            </w:r>
            <w:r w:rsidRPr="00957B06">
              <w:rPr>
                <w:rFonts w:cs="Calibri"/>
                <w:color w:val="000000"/>
                <w:spacing w:val="-2"/>
                <w:sz w:val="22"/>
                <w:szCs w:val="22"/>
              </w:rPr>
              <w:t xml:space="preserve">prowadzone </w:t>
            </w:r>
            <w:r w:rsidR="009F6CA5" w:rsidRPr="00957B06">
              <w:rPr>
                <w:rFonts w:cs="Calibri"/>
                <w:color w:val="000000"/>
                <w:spacing w:val="-2"/>
                <w:sz w:val="22"/>
                <w:szCs w:val="22"/>
              </w:rPr>
              <w:t>szer</w:t>
            </w:r>
            <w:r w:rsidR="00965F40" w:rsidRPr="00957B06">
              <w:rPr>
                <w:rFonts w:cs="Calibri"/>
                <w:color w:val="000000"/>
                <w:spacing w:val="-2"/>
                <w:sz w:val="22"/>
                <w:szCs w:val="22"/>
              </w:rPr>
              <w:t>oko zakrojone</w:t>
            </w:r>
            <w:r w:rsidR="009F6CA5" w:rsidRPr="00957B06">
              <w:rPr>
                <w:rFonts w:cs="Calibri"/>
                <w:color w:val="000000"/>
                <w:spacing w:val="-2"/>
                <w:sz w:val="22"/>
                <w:szCs w:val="22"/>
              </w:rPr>
              <w:t xml:space="preserve"> </w:t>
            </w:r>
            <w:r w:rsidRPr="00957B06">
              <w:rPr>
                <w:rFonts w:cs="Calibri"/>
                <w:color w:val="000000"/>
                <w:spacing w:val="-2"/>
                <w:sz w:val="22"/>
                <w:szCs w:val="22"/>
              </w:rPr>
              <w:t>badania</w:t>
            </w:r>
            <w:r w:rsidR="009F6CA5" w:rsidRPr="00957B06">
              <w:rPr>
                <w:rFonts w:cs="Calibri"/>
                <w:color w:val="000000"/>
                <w:spacing w:val="-2"/>
                <w:sz w:val="22"/>
                <w:szCs w:val="22"/>
              </w:rPr>
              <w:t xml:space="preserve"> dotyczące </w:t>
            </w:r>
            <w:r w:rsidRPr="00957B06">
              <w:rPr>
                <w:rFonts w:cs="Calibri"/>
                <w:color w:val="000000"/>
                <w:spacing w:val="-2"/>
                <w:sz w:val="22"/>
                <w:szCs w:val="22"/>
              </w:rPr>
              <w:t xml:space="preserve"> świadomości społecznej dot. przepisów ustawy</w:t>
            </w:r>
            <w:r w:rsidR="00592768" w:rsidRPr="00957B06">
              <w:rPr>
                <w:rFonts w:cs="Calibri"/>
                <w:color w:val="000000"/>
                <w:spacing w:val="-2"/>
                <w:sz w:val="22"/>
                <w:szCs w:val="22"/>
              </w:rPr>
              <w:t xml:space="preserve"> lub ogólnej świadomości nt</w:t>
            </w:r>
            <w:r w:rsidR="00636A72" w:rsidRPr="00957B06">
              <w:rPr>
                <w:rFonts w:cs="Calibri"/>
                <w:color w:val="000000"/>
                <w:spacing w:val="-2"/>
                <w:sz w:val="22"/>
                <w:szCs w:val="22"/>
              </w:rPr>
              <w:t>.</w:t>
            </w:r>
            <w:r w:rsidR="00592768" w:rsidRPr="00957B06">
              <w:rPr>
                <w:rFonts w:cs="Calibri"/>
                <w:color w:val="000000"/>
                <w:spacing w:val="-2"/>
                <w:sz w:val="22"/>
                <w:szCs w:val="22"/>
              </w:rPr>
              <w:t xml:space="preserve">  dostępności. </w:t>
            </w:r>
            <w:r w:rsidR="00965F40" w:rsidRPr="00957B06">
              <w:rPr>
                <w:rFonts w:cs="Calibri"/>
                <w:color w:val="000000"/>
                <w:spacing w:val="-2"/>
                <w:sz w:val="22"/>
                <w:szCs w:val="22"/>
              </w:rPr>
              <w:t xml:space="preserve">Natomiast </w:t>
            </w:r>
            <w:r w:rsidR="009F6CA5" w:rsidRPr="00957B06">
              <w:rPr>
                <w:rFonts w:cs="Calibri"/>
                <w:color w:val="000000"/>
                <w:spacing w:val="-2"/>
                <w:sz w:val="22"/>
                <w:szCs w:val="22"/>
              </w:rPr>
              <w:t>w</w:t>
            </w:r>
            <w:r w:rsidRPr="00957B06">
              <w:rPr>
                <w:rFonts w:cs="Calibri"/>
                <w:color w:val="000000"/>
                <w:spacing w:val="-2"/>
                <w:sz w:val="22"/>
                <w:szCs w:val="22"/>
              </w:rPr>
              <w:t xml:space="preserve"> 2024 r. </w:t>
            </w:r>
            <w:r w:rsidR="009F6CA5" w:rsidRPr="00957B06">
              <w:rPr>
                <w:rFonts w:cs="Calibri"/>
                <w:color w:val="000000"/>
                <w:spacing w:val="-2"/>
                <w:sz w:val="22"/>
                <w:szCs w:val="22"/>
              </w:rPr>
              <w:t>MFIPR zleciło realizację</w:t>
            </w:r>
            <w:r w:rsidR="009F6CA5" w:rsidRPr="00467BD3">
              <w:rPr>
                <w:rFonts w:cs="Calibri"/>
                <w:color w:val="000000"/>
                <w:spacing w:val="-2"/>
                <w:sz w:val="22"/>
                <w:szCs w:val="22"/>
              </w:rPr>
              <w:footnoteReference w:id="8"/>
            </w:r>
            <w:r w:rsidR="009F6CA5" w:rsidRPr="00467BD3">
              <w:rPr>
                <w:rFonts w:cs="Calibri"/>
                <w:color w:val="000000"/>
                <w:spacing w:val="-2"/>
                <w:sz w:val="22"/>
                <w:szCs w:val="22"/>
              </w:rPr>
              <w:t xml:space="preserve"> </w:t>
            </w:r>
            <w:r w:rsidRPr="00957B06">
              <w:rPr>
                <w:rFonts w:cs="Calibri"/>
                <w:color w:val="000000"/>
                <w:spacing w:val="-2"/>
                <w:sz w:val="22"/>
                <w:szCs w:val="22"/>
              </w:rPr>
              <w:t>ewaluacj</w:t>
            </w:r>
            <w:r w:rsidR="00592768" w:rsidRPr="00957B06">
              <w:rPr>
                <w:rFonts w:cs="Calibri"/>
                <w:color w:val="000000"/>
                <w:spacing w:val="-2"/>
                <w:sz w:val="22"/>
                <w:szCs w:val="22"/>
              </w:rPr>
              <w:t>i</w:t>
            </w:r>
            <w:r w:rsidR="009F6CA5" w:rsidRPr="00957B06">
              <w:rPr>
                <w:rFonts w:cs="Calibri"/>
                <w:color w:val="000000"/>
                <w:spacing w:val="-2"/>
                <w:sz w:val="22"/>
                <w:szCs w:val="22"/>
              </w:rPr>
              <w:t xml:space="preserve"> </w:t>
            </w:r>
            <w:r w:rsidRPr="00957B06">
              <w:rPr>
                <w:rFonts w:cs="Calibri"/>
                <w:color w:val="000000"/>
                <w:spacing w:val="-2"/>
                <w:sz w:val="22"/>
                <w:szCs w:val="22"/>
              </w:rPr>
              <w:t>skuteczności wdrażania przepisów ustawy</w:t>
            </w:r>
            <w:r w:rsidR="00592768" w:rsidRPr="00957B06">
              <w:rPr>
                <w:rFonts w:cs="Calibri"/>
                <w:color w:val="000000"/>
                <w:spacing w:val="-2"/>
                <w:sz w:val="22"/>
                <w:szCs w:val="22"/>
              </w:rPr>
              <w:t>,</w:t>
            </w:r>
            <w:r w:rsidRPr="00957B06">
              <w:rPr>
                <w:rFonts w:cs="Calibri"/>
                <w:color w:val="000000"/>
                <w:spacing w:val="-2"/>
                <w:sz w:val="22"/>
                <w:szCs w:val="22"/>
              </w:rPr>
              <w:t xml:space="preserve"> któr</w:t>
            </w:r>
            <w:r w:rsidR="009F6CA5" w:rsidRPr="00957B06">
              <w:rPr>
                <w:rFonts w:cs="Calibri"/>
                <w:color w:val="000000"/>
                <w:spacing w:val="-2"/>
                <w:sz w:val="22"/>
                <w:szCs w:val="22"/>
              </w:rPr>
              <w:t xml:space="preserve">ym objęto także 365 osób ze szczególnymi potrzebami. </w:t>
            </w:r>
            <w:r w:rsidR="00592768" w:rsidRPr="00957B06">
              <w:rPr>
                <w:rFonts w:cs="Calibri"/>
                <w:color w:val="000000"/>
                <w:spacing w:val="-2"/>
                <w:sz w:val="22"/>
                <w:szCs w:val="22"/>
              </w:rPr>
              <w:t>W</w:t>
            </w:r>
            <w:r w:rsidR="009F6CA5" w:rsidRPr="00957B06">
              <w:rPr>
                <w:rFonts w:cs="Calibri"/>
                <w:color w:val="000000"/>
                <w:spacing w:val="-2"/>
                <w:sz w:val="22"/>
                <w:szCs w:val="22"/>
              </w:rPr>
              <w:t>ynik</w:t>
            </w:r>
            <w:r w:rsidR="00965F40" w:rsidRPr="00957B06">
              <w:rPr>
                <w:rFonts w:cs="Calibri"/>
                <w:color w:val="000000"/>
                <w:spacing w:val="-2"/>
                <w:sz w:val="22"/>
                <w:szCs w:val="22"/>
              </w:rPr>
              <w:t>i</w:t>
            </w:r>
            <w:r w:rsidR="009F6CA5" w:rsidRPr="00957B06">
              <w:rPr>
                <w:rFonts w:cs="Calibri"/>
                <w:color w:val="000000"/>
                <w:spacing w:val="-2"/>
                <w:sz w:val="22"/>
                <w:szCs w:val="22"/>
              </w:rPr>
              <w:t xml:space="preserve"> tego badania w</w:t>
            </w:r>
            <w:r w:rsidR="00592768" w:rsidRPr="00957B06">
              <w:rPr>
                <w:rFonts w:cs="Calibri"/>
                <w:color w:val="000000"/>
                <w:spacing w:val="-2"/>
                <w:sz w:val="22"/>
                <w:szCs w:val="22"/>
              </w:rPr>
              <w:t xml:space="preserve">skazują że </w:t>
            </w:r>
            <w:r w:rsidR="009F6CA5" w:rsidRPr="00957B06">
              <w:rPr>
                <w:rFonts w:cs="Calibri"/>
                <w:color w:val="000000"/>
                <w:spacing w:val="-2"/>
                <w:sz w:val="22"/>
                <w:szCs w:val="22"/>
              </w:rPr>
              <w:t xml:space="preserve">33,33% badanych osób ze szczególnymi potrzebami słyszało o ustawie i jednocześnie </w:t>
            </w:r>
            <w:r w:rsidR="00592768" w:rsidRPr="00957B06">
              <w:rPr>
                <w:rFonts w:cs="Calibri"/>
                <w:color w:val="000000"/>
                <w:spacing w:val="-2"/>
                <w:sz w:val="22"/>
                <w:szCs w:val="22"/>
              </w:rPr>
              <w:t xml:space="preserve">66,67% badanych nie wie, że może złożyć wniosek o zapewnienie dostępności. </w:t>
            </w:r>
            <w:r w:rsidR="00722F9F" w:rsidRPr="00957B06">
              <w:rPr>
                <w:rFonts w:cs="Calibri"/>
                <w:color w:val="000000"/>
                <w:spacing w:val="-2"/>
                <w:sz w:val="22"/>
                <w:szCs w:val="22"/>
              </w:rPr>
              <w:t>Wskazuje to, że poziom świadomości społecznej dotyczącej wymagań ustawy pozostaje niski.</w:t>
            </w:r>
          </w:p>
          <w:p w14:paraId="41DE36FD" w14:textId="1EDC48C4" w:rsidR="00592768" w:rsidRPr="00957B06" w:rsidRDefault="002064A9" w:rsidP="00BC3856">
            <w:pPr>
              <w:rPr>
                <w:rFonts w:cs="Calibri"/>
                <w:color w:val="000000"/>
                <w:spacing w:val="-2"/>
              </w:rPr>
            </w:pPr>
            <w:r w:rsidRPr="00957B06">
              <w:rPr>
                <w:rFonts w:cs="Calibri"/>
                <w:color w:val="000000"/>
                <w:spacing w:val="-2"/>
              </w:rPr>
              <w:t>Z badania tego wynik</w:t>
            </w:r>
            <w:r w:rsidR="00965F40" w:rsidRPr="00957B06">
              <w:rPr>
                <w:rFonts w:cs="Calibri"/>
                <w:color w:val="000000"/>
                <w:spacing w:val="-2"/>
              </w:rPr>
              <w:t>a,</w:t>
            </w:r>
            <w:r w:rsidRPr="00957B06">
              <w:rPr>
                <w:rFonts w:cs="Calibri"/>
                <w:color w:val="000000"/>
                <w:spacing w:val="-2"/>
              </w:rPr>
              <w:t xml:space="preserve"> </w:t>
            </w:r>
            <w:r w:rsidR="00965F40" w:rsidRPr="00957B06">
              <w:rPr>
                <w:rFonts w:cs="Calibri"/>
                <w:color w:val="000000"/>
                <w:spacing w:val="-2"/>
              </w:rPr>
              <w:t xml:space="preserve">że </w:t>
            </w:r>
            <w:r w:rsidR="003A534F" w:rsidRPr="00957B06">
              <w:rPr>
                <w:rFonts w:cs="Calibri"/>
                <w:color w:val="000000"/>
                <w:spacing w:val="-2"/>
              </w:rPr>
              <w:t xml:space="preserve">najwyższy poziom wiedzy w zakresie obowiązujących przepisów ustawy cechuje grupę osób bezpośrednio zaangażowanych w jej wdrażanie – tj. koordynatorów i koordynatorek ds. dostępności oraz osób eksperckich działających na rzecz osób ze szczególnymi potrzebami lub dostępności. </w:t>
            </w:r>
          </w:p>
          <w:p w14:paraId="2228E93C" w14:textId="0735C0E0" w:rsidR="00E32467" w:rsidRPr="00957B06" w:rsidRDefault="00BC3856" w:rsidP="00CF233B">
            <w:pPr>
              <w:rPr>
                <w:rFonts w:cs="Calibri"/>
                <w:color w:val="000000"/>
                <w:spacing w:val="-2"/>
              </w:rPr>
            </w:pPr>
            <w:r w:rsidRPr="00957B06">
              <w:rPr>
                <w:rFonts w:cs="Calibri"/>
                <w:color w:val="000000"/>
                <w:spacing w:val="-2"/>
              </w:rPr>
              <w:t xml:space="preserve"> </w:t>
            </w:r>
            <w:r w:rsidR="00E621C3" w:rsidRPr="00957B06">
              <w:rPr>
                <w:rFonts w:cs="Calibri"/>
                <w:color w:val="000000"/>
                <w:spacing w:val="-2"/>
              </w:rPr>
              <w:t xml:space="preserve">(10) </w:t>
            </w:r>
          </w:p>
          <w:p w14:paraId="3129A64E" w14:textId="0CD923B0" w:rsidR="00387F5F" w:rsidRPr="00957B06" w:rsidRDefault="00E621C3" w:rsidP="00BC3856">
            <w:pPr>
              <w:pStyle w:val="TableParagraph"/>
              <w:ind w:left="0" w:right="101"/>
              <w:jc w:val="both"/>
              <w:rPr>
                <w:rFonts w:cs="Calibri"/>
                <w:color w:val="000000"/>
                <w:spacing w:val="-2"/>
              </w:rPr>
            </w:pPr>
            <w:r w:rsidRPr="00957B06">
              <w:rPr>
                <w:rFonts w:cs="Calibri"/>
                <w:color w:val="000000"/>
                <w:spacing w:val="-2"/>
              </w:rPr>
              <w:t>Podstawowym</w:t>
            </w:r>
            <w:r w:rsidR="00965F40" w:rsidRPr="00957B06">
              <w:rPr>
                <w:rFonts w:cs="Calibri"/>
                <w:color w:val="000000"/>
                <w:spacing w:val="-2"/>
              </w:rPr>
              <w:t xml:space="preserve"> </w:t>
            </w:r>
            <w:r w:rsidRPr="00957B06">
              <w:rPr>
                <w:rFonts w:cs="Calibri"/>
                <w:color w:val="000000"/>
                <w:spacing w:val="-2"/>
              </w:rPr>
              <w:t>narzędzi</w:t>
            </w:r>
            <w:r w:rsidR="00965F40" w:rsidRPr="00957B06">
              <w:rPr>
                <w:rFonts w:cs="Calibri"/>
                <w:color w:val="000000"/>
                <w:spacing w:val="-2"/>
              </w:rPr>
              <w:t xml:space="preserve">em </w:t>
            </w:r>
            <w:r w:rsidRPr="00957B06">
              <w:rPr>
                <w:rFonts w:cs="Calibri"/>
                <w:color w:val="000000"/>
                <w:spacing w:val="-2"/>
              </w:rPr>
              <w:t>zaprojektowany</w:t>
            </w:r>
            <w:r w:rsidR="00965F40" w:rsidRPr="00957B06">
              <w:rPr>
                <w:rFonts w:cs="Calibri"/>
                <w:color w:val="000000"/>
                <w:spacing w:val="-2"/>
              </w:rPr>
              <w:t xml:space="preserve">m </w:t>
            </w:r>
            <w:r w:rsidRPr="00957B06">
              <w:rPr>
                <w:rFonts w:cs="Calibri"/>
                <w:color w:val="000000"/>
                <w:spacing w:val="-2"/>
              </w:rPr>
              <w:t xml:space="preserve">w </w:t>
            </w:r>
            <w:r w:rsidR="00675E9C" w:rsidRPr="00957B06">
              <w:rPr>
                <w:rFonts w:cs="Calibri"/>
                <w:color w:val="000000"/>
                <w:spacing w:val="-2"/>
              </w:rPr>
              <w:t xml:space="preserve">UZD </w:t>
            </w:r>
            <w:r w:rsidRPr="00957B06">
              <w:rPr>
                <w:rFonts w:cs="Calibri"/>
                <w:color w:val="000000"/>
                <w:spacing w:val="-2"/>
              </w:rPr>
              <w:t>w celu zwiększenia</w:t>
            </w:r>
            <w:r w:rsidR="00510791" w:rsidRPr="00957B06">
              <w:rPr>
                <w:rFonts w:cs="Calibri"/>
                <w:color w:val="000000"/>
                <w:spacing w:val="-2"/>
              </w:rPr>
              <w:t xml:space="preserve"> o</w:t>
            </w:r>
            <w:r w:rsidRPr="00957B06">
              <w:rPr>
                <w:rFonts w:cs="Calibri"/>
                <w:color w:val="000000"/>
                <w:spacing w:val="-2"/>
              </w:rPr>
              <w:t xml:space="preserve">dpowiedzialności podmiotów publicznych za wymagania w obszarze dostępności  jest </w:t>
            </w:r>
            <w:r w:rsidR="00592768" w:rsidRPr="00957B06">
              <w:rPr>
                <w:rFonts w:cs="Calibri"/>
                <w:color w:val="000000"/>
                <w:spacing w:val="-2"/>
              </w:rPr>
              <w:t>postępowanie skargowe</w:t>
            </w:r>
            <w:r w:rsidRPr="00957B06">
              <w:rPr>
                <w:rFonts w:cs="Calibri"/>
                <w:color w:val="000000"/>
                <w:spacing w:val="-2"/>
              </w:rPr>
              <w:t xml:space="preserve"> </w:t>
            </w:r>
            <w:r w:rsidR="00965F40" w:rsidRPr="00957B06">
              <w:rPr>
                <w:rFonts w:cs="Calibri"/>
                <w:color w:val="000000"/>
                <w:spacing w:val="-2"/>
              </w:rPr>
              <w:t xml:space="preserve">        </w:t>
            </w:r>
            <w:r w:rsidRPr="00957B06">
              <w:rPr>
                <w:rFonts w:cs="Calibri"/>
                <w:color w:val="000000"/>
                <w:spacing w:val="-2"/>
              </w:rPr>
              <w:t>(rozdział 4)</w:t>
            </w:r>
            <w:r w:rsidR="00965F40" w:rsidRPr="00957B06">
              <w:rPr>
                <w:rFonts w:cs="Calibri"/>
                <w:color w:val="000000"/>
                <w:spacing w:val="-2"/>
              </w:rPr>
              <w:t>.</w:t>
            </w:r>
            <w:r w:rsidRPr="00957B06">
              <w:rPr>
                <w:rFonts w:cs="Calibri"/>
                <w:color w:val="000000"/>
                <w:spacing w:val="-2"/>
              </w:rPr>
              <w:t xml:space="preserve"> O</w:t>
            </w:r>
            <w:r w:rsidR="00592768" w:rsidRPr="00957B06">
              <w:rPr>
                <w:rFonts w:cs="Calibri"/>
                <w:color w:val="000000"/>
                <w:spacing w:val="-2"/>
              </w:rPr>
              <w:t>bejmuj</w:t>
            </w:r>
            <w:r w:rsidR="00387F5F" w:rsidRPr="00957B06">
              <w:rPr>
                <w:rFonts w:cs="Calibri"/>
                <w:color w:val="000000"/>
                <w:spacing w:val="-2"/>
              </w:rPr>
              <w:t xml:space="preserve">e </w:t>
            </w:r>
            <w:r w:rsidRPr="00957B06">
              <w:rPr>
                <w:rFonts w:cs="Calibri"/>
                <w:color w:val="000000"/>
                <w:spacing w:val="-2"/>
              </w:rPr>
              <w:t xml:space="preserve">ono </w:t>
            </w:r>
            <w:r w:rsidR="00592768" w:rsidRPr="00957B06">
              <w:rPr>
                <w:rFonts w:cs="Calibri"/>
                <w:color w:val="000000"/>
                <w:spacing w:val="-2"/>
              </w:rPr>
              <w:t xml:space="preserve">3 </w:t>
            </w:r>
            <w:r w:rsidR="00387F5F" w:rsidRPr="00957B06">
              <w:rPr>
                <w:rFonts w:cs="Calibri"/>
                <w:color w:val="000000"/>
                <w:spacing w:val="-2"/>
              </w:rPr>
              <w:t xml:space="preserve">etapy: </w:t>
            </w:r>
          </w:p>
          <w:p w14:paraId="4D9F67D0" w14:textId="6FDCFE50" w:rsidR="00387F5F" w:rsidRPr="00957B06" w:rsidRDefault="00387F5F" w:rsidP="00BC3856">
            <w:pPr>
              <w:pStyle w:val="TableParagraph"/>
              <w:ind w:left="0" w:right="101"/>
              <w:jc w:val="both"/>
              <w:rPr>
                <w:rFonts w:cs="Calibri"/>
                <w:color w:val="000000"/>
                <w:spacing w:val="-2"/>
              </w:rPr>
            </w:pPr>
            <w:r w:rsidRPr="00957B06">
              <w:rPr>
                <w:rFonts w:cs="Calibri"/>
                <w:color w:val="000000"/>
                <w:spacing w:val="-2"/>
              </w:rPr>
              <w:t xml:space="preserve">- </w:t>
            </w:r>
            <w:r w:rsidR="00592768" w:rsidRPr="00957B06">
              <w:rPr>
                <w:rFonts w:cs="Calibri"/>
                <w:color w:val="000000"/>
                <w:spacing w:val="-2"/>
              </w:rPr>
              <w:t xml:space="preserve"> informowania o braku dostępności</w:t>
            </w:r>
            <w:r w:rsidRPr="00957B06">
              <w:rPr>
                <w:rFonts w:cs="Calibri"/>
                <w:color w:val="000000"/>
                <w:spacing w:val="-2"/>
              </w:rPr>
              <w:t xml:space="preserve"> (nieobligatoryjny)</w:t>
            </w:r>
            <w:r w:rsidR="00E621C3" w:rsidRPr="00957B06">
              <w:rPr>
                <w:rFonts w:cs="Calibri"/>
                <w:color w:val="000000"/>
                <w:spacing w:val="-2"/>
              </w:rPr>
              <w:t xml:space="preserve">, </w:t>
            </w:r>
            <w:r w:rsidR="00592768" w:rsidRPr="00957B06">
              <w:rPr>
                <w:rFonts w:cs="Calibri"/>
                <w:color w:val="000000"/>
                <w:spacing w:val="-2"/>
              </w:rPr>
              <w:t xml:space="preserve"> </w:t>
            </w:r>
          </w:p>
          <w:p w14:paraId="230CFD6F" w14:textId="77777777" w:rsidR="00387F5F" w:rsidRPr="00957B06" w:rsidRDefault="00387F5F" w:rsidP="00BC3856">
            <w:pPr>
              <w:pStyle w:val="TableParagraph"/>
              <w:ind w:left="0" w:right="101"/>
              <w:jc w:val="both"/>
              <w:rPr>
                <w:rFonts w:cs="Calibri"/>
                <w:color w:val="000000"/>
                <w:spacing w:val="-2"/>
              </w:rPr>
            </w:pPr>
            <w:r w:rsidRPr="00957B06">
              <w:rPr>
                <w:rFonts w:cs="Calibri"/>
                <w:color w:val="000000"/>
                <w:spacing w:val="-2"/>
              </w:rPr>
              <w:t xml:space="preserve">- </w:t>
            </w:r>
            <w:r w:rsidR="00466D6B" w:rsidRPr="00957B06">
              <w:rPr>
                <w:rFonts w:cs="Calibri"/>
                <w:color w:val="000000"/>
                <w:spacing w:val="-2"/>
              </w:rPr>
              <w:t>wnioskowania</w:t>
            </w:r>
            <w:r w:rsidR="00CF55E4" w:rsidRPr="00957B06">
              <w:rPr>
                <w:rFonts w:cs="Calibri"/>
                <w:color w:val="000000"/>
                <w:spacing w:val="-2"/>
              </w:rPr>
              <w:t xml:space="preserve"> o jej zapewnienie</w:t>
            </w:r>
            <w:r w:rsidR="00E621C3" w:rsidRPr="00957B06">
              <w:rPr>
                <w:rFonts w:cs="Calibri"/>
                <w:color w:val="000000"/>
                <w:spacing w:val="-2"/>
              </w:rPr>
              <w:t>,</w:t>
            </w:r>
            <w:r w:rsidR="00CF55E4" w:rsidRPr="00957B06">
              <w:rPr>
                <w:rFonts w:cs="Calibri"/>
                <w:color w:val="000000"/>
                <w:spacing w:val="-2"/>
              </w:rPr>
              <w:t xml:space="preserve"> </w:t>
            </w:r>
          </w:p>
          <w:p w14:paraId="22BC4127" w14:textId="7207238A" w:rsidR="00387F5F" w:rsidRPr="00957B06" w:rsidRDefault="00387F5F" w:rsidP="00BC3856">
            <w:pPr>
              <w:pStyle w:val="TableParagraph"/>
              <w:ind w:left="0" w:right="101"/>
              <w:jc w:val="both"/>
              <w:rPr>
                <w:rFonts w:cs="Calibri"/>
                <w:color w:val="000000"/>
                <w:spacing w:val="-2"/>
              </w:rPr>
            </w:pPr>
            <w:r w:rsidRPr="00957B06">
              <w:rPr>
                <w:rFonts w:cs="Calibri"/>
                <w:color w:val="000000"/>
                <w:spacing w:val="-2"/>
              </w:rPr>
              <w:t xml:space="preserve">- </w:t>
            </w:r>
            <w:r w:rsidR="00466D6B" w:rsidRPr="00957B06">
              <w:rPr>
                <w:rFonts w:cs="Calibri"/>
                <w:color w:val="000000"/>
                <w:spacing w:val="-2"/>
              </w:rPr>
              <w:t xml:space="preserve">zaskarżania </w:t>
            </w:r>
            <w:r w:rsidR="00CF55E4" w:rsidRPr="00957B06">
              <w:rPr>
                <w:rFonts w:cs="Calibri"/>
                <w:color w:val="000000"/>
                <w:spacing w:val="-2"/>
              </w:rPr>
              <w:t xml:space="preserve">jej </w:t>
            </w:r>
            <w:r w:rsidR="00466D6B" w:rsidRPr="00957B06">
              <w:rPr>
                <w:rFonts w:cs="Calibri"/>
                <w:color w:val="000000"/>
                <w:spacing w:val="-2"/>
              </w:rPr>
              <w:t>braku.</w:t>
            </w:r>
            <w:r w:rsidR="00CF55E4" w:rsidRPr="00957B06">
              <w:rPr>
                <w:rFonts w:cs="Calibri"/>
                <w:color w:val="000000"/>
                <w:spacing w:val="-2"/>
              </w:rPr>
              <w:t xml:space="preserve"> </w:t>
            </w:r>
          </w:p>
          <w:p w14:paraId="16EB46FE" w14:textId="77777777" w:rsidR="00387F5F" w:rsidRPr="00957B06" w:rsidRDefault="00387F5F" w:rsidP="00CF233B">
            <w:pPr>
              <w:pStyle w:val="TableParagraph"/>
              <w:ind w:right="101"/>
              <w:jc w:val="both"/>
              <w:rPr>
                <w:rFonts w:cs="Calibri"/>
                <w:color w:val="000000"/>
                <w:spacing w:val="-2"/>
              </w:rPr>
            </w:pPr>
          </w:p>
          <w:p w14:paraId="54143C13" w14:textId="49BD1972" w:rsidR="009C15F8" w:rsidRPr="00957B06" w:rsidRDefault="00CF55E4" w:rsidP="00387F5F">
            <w:pPr>
              <w:pStyle w:val="TableParagraph"/>
              <w:ind w:left="0" w:right="101"/>
              <w:jc w:val="both"/>
              <w:rPr>
                <w:rFonts w:cs="Calibri"/>
                <w:color w:val="000000"/>
                <w:spacing w:val="-2"/>
              </w:rPr>
            </w:pPr>
            <w:r w:rsidRPr="00957B06">
              <w:rPr>
                <w:rFonts w:cs="Calibri"/>
                <w:color w:val="000000"/>
                <w:spacing w:val="-2"/>
              </w:rPr>
              <w:t xml:space="preserve">Narzędzia </w:t>
            </w:r>
            <w:r w:rsidR="00466D6B" w:rsidRPr="00957B06">
              <w:rPr>
                <w:rFonts w:cs="Calibri"/>
                <w:color w:val="000000"/>
                <w:spacing w:val="-2"/>
              </w:rPr>
              <w:t xml:space="preserve">te zostały pomyślane jako sposób dyscyplinowania podmiotów  publicznych  które  nie stosują </w:t>
            </w:r>
            <w:r w:rsidR="00387F5F" w:rsidRPr="00957B06">
              <w:rPr>
                <w:rFonts w:cs="Calibri"/>
                <w:color w:val="000000"/>
                <w:spacing w:val="-2"/>
              </w:rPr>
              <w:t xml:space="preserve">obowiązków określonych w </w:t>
            </w:r>
            <w:r w:rsidR="00466D6B" w:rsidRPr="00957B06">
              <w:rPr>
                <w:rFonts w:cs="Calibri"/>
                <w:color w:val="000000"/>
                <w:spacing w:val="-2"/>
              </w:rPr>
              <w:t>ustaw</w:t>
            </w:r>
            <w:r w:rsidR="00387F5F" w:rsidRPr="00957B06">
              <w:rPr>
                <w:rFonts w:cs="Calibri"/>
                <w:color w:val="000000"/>
                <w:spacing w:val="-2"/>
              </w:rPr>
              <w:t>ie</w:t>
            </w:r>
            <w:r w:rsidR="00466D6B" w:rsidRPr="00957B06">
              <w:rPr>
                <w:rFonts w:cs="Calibri"/>
                <w:color w:val="000000"/>
                <w:spacing w:val="-2"/>
              </w:rPr>
              <w:t xml:space="preserve">. </w:t>
            </w:r>
            <w:r w:rsidR="00510791" w:rsidRPr="00957B06">
              <w:rPr>
                <w:rFonts w:cs="Calibri"/>
                <w:color w:val="000000"/>
                <w:spacing w:val="-2"/>
              </w:rPr>
              <w:t xml:space="preserve">Z powołanej powyżej ewaluacji </w:t>
            </w:r>
            <w:r w:rsidR="00466D6B" w:rsidRPr="00957B06">
              <w:rPr>
                <w:rFonts w:cs="Calibri"/>
                <w:color w:val="000000"/>
                <w:spacing w:val="-2"/>
              </w:rPr>
              <w:t>wynika</w:t>
            </w:r>
            <w:r w:rsidR="00387F5F" w:rsidRPr="00957B06">
              <w:rPr>
                <w:rFonts w:cs="Calibri"/>
                <w:color w:val="000000"/>
                <w:spacing w:val="-2"/>
              </w:rPr>
              <w:t>,</w:t>
            </w:r>
            <w:r w:rsidR="00466D6B" w:rsidRPr="00957B06">
              <w:rPr>
                <w:rFonts w:cs="Calibri"/>
                <w:color w:val="000000"/>
                <w:spacing w:val="-2"/>
              </w:rPr>
              <w:t xml:space="preserve"> że ponad połowa badanych osób ze  szczególnymi potrzebami  nie ma jednak świadomości możliwości skorzystania z tych narzędzi. Potwierdzają to też dane uzyskiwane przez MFIPR  od PFRON</w:t>
            </w:r>
            <w:r w:rsidR="00387F5F" w:rsidRPr="00957B06">
              <w:rPr>
                <w:rFonts w:cs="Calibri"/>
                <w:color w:val="000000"/>
                <w:spacing w:val="-2"/>
              </w:rPr>
              <w:t>,</w:t>
            </w:r>
            <w:r w:rsidR="00466D6B" w:rsidRPr="00957B06">
              <w:rPr>
                <w:rFonts w:cs="Calibri"/>
                <w:color w:val="000000"/>
                <w:spacing w:val="-2"/>
              </w:rPr>
              <w:t xml:space="preserve"> jako podmiotu właściwego do porozpatrywania skarg na brak dostępności. </w:t>
            </w:r>
            <w:r w:rsidR="00387F5F" w:rsidRPr="00957B06">
              <w:rPr>
                <w:rFonts w:cs="Calibri"/>
                <w:color w:val="000000"/>
                <w:spacing w:val="-2"/>
              </w:rPr>
              <w:t xml:space="preserve">Do </w:t>
            </w:r>
            <w:r w:rsidR="00571B35" w:rsidRPr="00957B06">
              <w:rPr>
                <w:rFonts w:cs="Calibri"/>
                <w:color w:val="000000"/>
                <w:spacing w:val="-2"/>
              </w:rPr>
              <w:t>końca</w:t>
            </w:r>
            <w:r w:rsidR="00387F5F" w:rsidRPr="00957B06">
              <w:rPr>
                <w:rFonts w:cs="Calibri"/>
                <w:color w:val="000000"/>
                <w:spacing w:val="-2"/>
              </w:rPr>
              <w:t xml:space="preserve"> </w:t>
            </w:r>
            <w:r w:rsidR="00466D6B" w:rsidRPr="00957B06">
              <w:rPr>
                <w:rFonts w:cs="Calibri"/>
                <w:color w:val="000000"/>
                <w:spacing w:val="-2"/>
              </w:rPr>
              <w:t xml:space="preserve"> 2025 r. </w:t>
            </w:r>
            <w:r w:rsidR="00010F12" w:rsidRPr="00957B06">
              <w:rPr>
                <w:rFonts w:cs="Calibri"/>
                <w:color w:val="000000"/>
                <w:spacing w:val="-2"/>
              </w:rPr>
              <w:t>złożono</w:t>
            </w:r>
            <w:r w:rsidR="00466D6B" w:rsidRPr="00957B06">
              <w:rPr>
                <w:rFonts w:cs="Calibri"/>
                <w:color w:val="000000"/>
                <w:spacing w:val="-2"/>
              </w:rPr>
              <w:t xml:space="preserve"> </w:t>
            </w:r>
            <w:r w:rsidR="00387F5F" w:rsidRPr="00957B06">
              <w:rPr>
                <w:rFonts w:cs="Calibri"/>
                <w:color w:val="000000"/>
                <w:spacing w:val="-2"/>
              </w:rPr>
              <w:t>2</w:t>
            </w:r>
            <w:r w:rsidR="00571B35" w:rsidRPr="00957B06">
              <w:rPr>
                <w:rFonts w:cs="Calibri"/>
                <w:color w:val="000000"/>
                <w:spacing w:val="-2"/>
              </w:rPr>
              <w:t>34</w:t>
            </w:r>
            <w:r w:rsidR="00387F5F" w:rsidRPr="00957B06">
              <w:rPr>
                <w:rFonts w:cs="Calibri"/>
                <w:color w:val="000000"/>
                <w:spacing w:val="-2"/>
              </w:rPr>
              <w:t xml:space="preserve"> </w:t>
            </w:r>
            <w:r w:rsidR="00010F12" w:rsidRPr="00957B06">
              <w:rPr>
                <w:rFonts w:cs="Calibri"/>
                <w:color w:val="000000"/>
                <w:spacing w:val="-2"/>
              </w:rPr>
              <w:t>skarg</w:t>
            </w:r>
            <w:r w:rsidR="00571B35" w:rsidRPr="00957B06">
              <w:rPr>
                <w:rFonts w:cs="Calibri"/>
                <w:color w:val="000000"/>
                <w:spacing w:val="-2"/>
              </w:rPr>
              <w:t>i</w:t>
            </w:r>
            <w:r w:rsidR="00010F12" w:rsidRPr="00957B06">
              <w:rPr>
                <w:rFonts w:cs="Calibri"/>
                <w:color w:val="000000"/>
                <w:spacing w:val="-2"/>
              </w:rPr>
              <w:t xml:space="preserve"> z czego </w:t>
            </w:r>
            <w:r w:rsidR="00630D39" w:rsidRPr="00957B06">
              <w:rPr>
                <w:rFonts w:cs="Calibri"/>
                <w:color w:val="000000"/>
                <w:spacing w:val="-2"/>
              </w:rPr>
              <w:t>1</w:t>
            </w:r>
            <w:r w:rsidR="00571B35" w:rsidRPr="00957B06">
              <w:rPr>
                <w:rFonts w:cs="Calibri"/>
                <w:color w:val="000000"/>
                <w:spacing w:val="-2"/>
              </w:rPr>
              <w:t>2</w:t>
            </w:r>
            <w:r w:rsidR="00630D39" w:rsidRPr="00957B06">
              <w:rPr>
                <w:rFonts w:cs="Calibri"/>
                <w:color w:val="000000"/>
                <w:spacing w:val="-2"/>
              </w:rPr>
              <w:t>4</w:t>
            </w:r>
            <w:r w:rsidR="00010F12" w:rsidRPr="00957B06">
              <w:rPr>
                <w:rFonts w:cs="Calibri"/>
                <w:color w:val="000000"/>
                <w:spacing w:val="-2"/>
              </w:rPr>
              <w:t xml:space="preserve"> </w:t>
            </w:r>
            <w:r w:rsidR="00466D6B" w:rsidRPr="00957B06">
              <w:rPr>
                <w:rFonts w:cs="Calibri"/>
                <w:color w:val="000000"/>
                <w:spacing w:val="-2"/>
              </w:rPr>
              <w:t>były procedowane jako poprawne formalnie</w:t>
            </w:r>
            <w:r w:rsidR="00010F12" w:rsidRPr="00957B06">
              <w:rPr>
                <w:rFonts w:cs="Calibri"/>
                <w:color w:val="000000"/>
                <w:spacing w:val="-2"/>
              </w:rPr>
              <w:t>. Na ich podstawie wszczęto</w:t>
            </w:r>
            <w:r w:rsidR="00C52613" w:rsidRPr="00957B06">
              <w:rPr>
                <w:rFonts w:cs="Calibri"/>
                <w:color w:val="000000"/>
                <w:spacing w:val="-2"/>
              </w:rPr>
              <w:t>:</w:t>
            </w:r>
            <w:r w:rsidR="00010F12" w:rsidRPr="00957B06">
              <w:rPr>
                <w:rFonts w:cs="Calibri"/>
                <w:color w:val="000000"/>
                <w:spacing w:val="-2"/>
              </w:rPr>
              <w:t xml:space="preserve"> </w:t>
            </w:r>
            <w:r w:rsidR="00571B35" w:rsidRPr="00957B06">
              <w:rPr>
                <w:rFonts w:cs="Calibri"/>
                <w:color w:val="000000"/>
                <w:spacing w:val="-2"/>
              </w:rPr>
              <w:t>72</w:t>
            </w:r>
            <w:r w:rsidR="00466D6B" w:rsidRPr="00957B06">
              <w:rPr>
                <w:rFonts w:cs="Calibri"/>
                <w:color w:val="000000"/>
                <w:spacing w:val="-2"/>
              </w:rPr>
              <w:t xml:space="preserve"> </w:t>
            </w:r>
            <w:r w:rsidR="00010F12" w:rsidRPr="00957B06">
              <w:rPr>
                <w:rFonts w:cs="Calibri"/>
                <w:color w:val="000000"/>
                <w:spacing w:val="-2"/>
              </w:rPr>
              <w:t xml:space="preserve">postępowa </w:t>
            </w:r>
            <w:r w:rsidR="00466D6B" w:rsidRPr="00957B06">
              <w:rPr>
                <w:rFonts w:cs="Calibri"/>
                <w:color w:val="000000"/>
                <w:spacing w:val="-2"/>
              </w:rPr>
              <w:t>d</w:t>
            </w:r>
            <w:r w:rsidR="00010F12" w:rsidRPr="00957B06">
              <w:rPr>
                <w:rFonts w:cs="Calibri"/>
                <w:color w:val="000000"/>
                <w:spacing w:val="-2"/>
              </w:rPr>
              <w:t>otycząc braku dostępności architektoniczn</w:t>
            </w:r>
            <w:r w:rsidR="00466D6B" w:rsidRPr="00957B06">
              <w:rPr>
                <w:rFonts w:cs="Calibri"/>
                <w:color w:val="000000"/>
                <w:spacing w:val="-2"/>
              </w:rPr>
              <w:t xml:space="preserve">ej  i </w:t>
            </w:r>
            <w:r w:rsidR="00010F12" w:rsidRPr="00957B06">
              <w:rPr>
                <w:rFonts w:cs="Calibri"/>
                <w:color w:val="000000"/>
                <w:spacing w:val="-2"/>
              </w:rPr>
              <w:t xml:space="preserve">  na brak dostępności informacyjno-komunikacyjnej. Wydano </w:t>
            </w:r>
            <w:r w:rsidR="00571B35" w:rsidRPr="00957B06">
              <w:rPr>
                <w:rFonts w:cs="Calibri"/>
                <w:color w:val="000000"/>
                <w:spacing w:val="-2"/>
              </w:rPr>
              <w:t>3</w:t>
            </w:r>
            <w:r w:rsidR="00010F12" w:rsidRPr="00957B06">
              <w:rPr>
                <w:rFonts w:cs="Calibri"/>
                <w:color w:val="000000"/>
                <w:spacing w:val="-2"/>
              </w:rPr>
              <w:t xml:space="preserve"> decyzj</w:t>
            </w:r>
            <w:r w:rsidR="008B6A0F" w:rsidRPr="00957B06">
              <w:rPr>
                <w:rFonts w:cs="Calibri"/>
                <w:color w:val="000000"/>
                <w:spacing w:val="-2"/>
              </w:rPr>
              <w:t>e</w:t>
            </w:r>
            <w:r w:rsidR="00010F12" w:rsidRPr="00957B06">
              <w:rPr>
                <w:rFonts w:cs="Calibri"/>
                <w:color w:val="000000"/>
                <w:spacing w:val="-2"/>
              </w:rPr>
              <w:t xml:space="preserve"> nakazujących zapewnienie dostępności. Wykonano </w:t>
            </w:r>
            <w:r w:rsidR="00C52613" w:rsidRPr="00957B06">
              <w:rPr>
                <w:rFonts w:cs="Calibri"/>
                <w:color w:val="000000"/>
                <w:spacing w:val="-2"/>
              </w:rPr>
              <w:t>9</w:t>
            </w:r>
            <w:r w:rsidR="00010F12" w:rsidRPr="00957B06">
              <w:rPr>
                <w:rFonts w:cs="Calibri"/>
                <w:color w:val="000000"/>
                <w:spacing w:val="-2"/>
              </w:rPr>
              <w:t xml:space="preserve"> decyzji. W przypadku </w:t>
            </w:r>
            <w:r w:rsidR="00E32467" w:rsidRPr="00957B06">
              <w:rPr>
                <w:rFonts w:cs="Calibri"/>
                <w:color w:val="000000"/>
                <w:spacing w:val="-2"/>
              </w:rPr>
              <w:t>4</w:t>
            </w:r>
            <w:r w:rsidR="00010F12" w:rsidRPr="00957B06">
              <w:rPr>
                <w:rFonts w:cs="Calibri"/>
                <w:color w:val="000000"/>
                <w:spacing w:val="-2"/>
              </w:rPr>
              <w:t xml:space="preserve"> niewykonanych decyzji wystąpiono z wnioskiem o nałożenie grzywny</w:t>
            </w:r>
            <w:r w:rsidR="00571B35" w:rsidRPr="00957B06">
              <w:rPr>
                <w:rFonts w:cs="Calibri"/>
                <w:color w:val="000000"/>
                <w:spacing w:val="-2"/>
              </w:rPr>
              <w:t>.</w:t>
            </w:r>
            <w:r w:rsidR="00010F12" w:rsidRPr="00957B06">
              <w:rPr>
                <w:rFonts w:cs="Calibri"/>
                <w:color w:val="000000"/>
                <w:spacing w:val="-2"/>
              </w:rPr>
              <w:t xml:space="preserve"> </w:t>
            </w:r>
            <w:r w:rsidR="00571B35" w:rsidRPr="00957B06">
              <w:rPr>
                <w:rFonts w:cs="Calibri"/>
                <w:color w:val="000000"/>
                <w:spacing w:val="-2"/>
              </w:rPr>
              <w:t>N</w:t>
            </w:r>
            <w:r w:rsidR="00571B35" w:rsidRPr="00957B06">
              <w:t>iska liczba skarg nie musi oznaczać wysokiego poziomu dostępności, lecz może wynikać z ograniczonej świadomości obywateli w zakresie przysługujących im uprawnień.</w:t>
            </w:r>
            <w:r w:rsidR="00010F12" w:rsidRPr="00957B06">
              <w:rPr>
                <w:rFonts w:cs="Calibri"/>
                <w:color w:val="000000"/>
                <w:spacing w:val="-2"/>
              </w:rPr>
              <w:t xml:space="preserve"> </w:t>
            </w:r>
          </w:p>
          <w:p w14:paraId="6FE1F60A" w14:textId="77777777" w:rsidR="00E74804" w:rsidRPr="00957B06" w:rsidRDefault="00E74804" w:rsidP="00501C18">
            <w:pPr>
              <w:pStyle w:val="TableParagraph"/>
              <w:ind w:left="107" w:right="101"/>
              <w:jc w:val="both"/>
              <w:rPr>
                <w:rFonts w:cs="Calibri"/>
                <w:color w:val="000000"/>
                <w:spacing w:val="-2"/>
              </w:rPr>
            </w:pPr>
          </w:p>
          <w:p w14:paraId="3D6B8A60" w14:textId="01F12A4A" w:rsidR="009D793F" w:rsidRPr="00957B06" w:rsidRDefault="009D793F" w:rsidP="009D793F">
            <w:pPr>
              <w:widowControl/>
              <w:autoSpaceDE/>
              <w:autoSpaceDN/>
              <w:spacing w:after="120"/>
              <w:rPr>
                <w:rFonts w:cs="Calibri"/>
                <w:b/>
                <w:bCs/>
              </w:rPr>
            </w:pPr>
            <w:r w:rsidRPr="00957B06">
              <w:rPr>
                <w:rFonts w:cs="Calibri"/>
                <w:b/>
                <w:bCs/>
              </w:rPr>
              <w:t xml:space="preserve">Przewidywane skutki społeczne ustawy o charakterze szczegółowym : </w:t>
            </w:r>
          </w:p>
          <w:p w14:paraId="3EDB8B08" w14:textId="7678B012" w:rsidR="00CE7279" w:rsidRPr="00957B06" w:rsidRDefault="00CE7279" w:rsidP="003C3F42">
            <w:pPr>
              <w:pStyle w:val="TableParagraph"/>
              <w:numPr>
                <w:ilvl w:val="0"/>
                <w:numId w:val="26"/>
              </w:numPr>
              <w:ind w:right="101"/>
              <w:jc w:val="both"/>
              <w:rPr>
                <w:rFonts w:cs="Calibri"/>
                <w:color w:val="000000"/>
                <w:spacing w:val="-2"/>
              </w:rPr>
            </w:pPr>
          </w:p>
          <w:p w14:paraId="57AD4765" w14:textId="44B36944" w:rsidR="00E74804" w:rsidRPr="00957B06" w:rsidRDefault="00B1697D" w:rsidP="00BC3856">
            <w:pPr>
              <w:pStyle w:val="TableParagraph"/>
              <w:ind w:left="0" w:right="101"/>
              <w:jc w:val="both"/>
              <w:rPr>
                <w:rFonts w:cs="Calibri"/>
                <w:color w:val="000000"/>
                <w:spacing w:val="-2"/>
              </w:rPr>
            </w:pPr>
            <w:r w:rsidRPr="00957B06">
              <w:t xml:space="preserve">Stopień poprawy dostępności podmiotów publicznych w Polsce monitorowany jest na podstawie raportów składanych co 4 lata. </w:t>
            </w:r>
            <w:r w:rsidR="00CE7279" w:rsidRPr="00957B06">
              <w:rPr>
                <w:rFonts w:cs="Calibri"/>
                <w:color w:val="000000"/>
                <w:spacing w:val="-2"/>
              </w:rPr>
              <w:lastRenderedPageBreak/>
              <w:t>(zgodnie z art. 14)</w:t>
            </w:r>
            <w:r w:rsidR="00BA6A6E" w:rsidRPr="00957B06">
              <w:rPr>
                <w:rFonts w:cs="Calibri"/>
                <w:color w:val="000000"/>
                <w:spacing w:val="-2"/>
              </w:rPr>
              <w:t>. I</w:t>
            </w:r>
            <w:r w:rsidR="00CE7279" w:rsidRPr="00957B06">
              <w:rPr>
                <w:rFonts w:cs="Calibri"/>
                <w:color w:val="000000"/>
                <w:spacing w:val="-2"/>
              </w:rPr>
              <w:t xml:space="preserve">nformacje  o wynikach tego procesu prowadzonego w 2021 i 2025 opisano na wstępie niniejszego punktu. </w:t>
            </w:r>
            <w:r w:rsidR="00BA6A6E" w:rsidRPr="00957B06">
              <w:rPr>
                <w:rFonts w:cs="Calibri"/>
                <w:color w:val="000000"/>
                <w:spacing w:val="-2"/>
                <w:u w:val="single"/>
              </w:rPr>
              <w:t xml:space="preserve">Postęp poprawy dostępności na przestrzeni 4 lat  można uznać za </w:t>
            </w:r>
            <w:r w:rsidR="00D72B2A" w:rsidRPr="00957B06">
              <w:rPr>
                <w:rFonts w:cs="Calibri"/>
                <w:color w:val="000000"/>
                <w:spacing w:val="-2"/>
                <w:u w:val="single"/>
              </w:rPr>
              <w:t xml:space="preserve">istotny ale niewystarczający - </w:t>
            </w:r>
            <w:r w:rsidR="00BA6A6E" w:rsidRPr="00957B06">
              <w:rPr>
                <w:rFonts w:cs="Calibri"/>
                <w:color w:val="000000"/>
                <w:spacing w:val="-2"/>
                <w:u w:val="single"/>
              </w:rPr>
              <w:t xml:space="preserve">nadal </w:t>
            </w:r>
            <w:r w:rsidR="00D72B2A" w:rsidRPr="00957B06">
              <w:rPr>
                <w:rFonts w:cs="Calibri"/>
                <w:color w:val="000000"/>
                <w:spacing w:val="-2"/>
                <w:u w:val="single"/>
              </w:rPr>
              <w:t>więcej</w:t>
            </w:r>
            <w:r w:rsidR="00BA6A6E" w:rsidRPr="00957B06">
              <w:rPr>
                <w:rFonts w:cs="Calibri"/>
                <w:color w:val="000000"/>
                <w:spacing w:val="-2"/>
                <w:u w:val="single"/>
              </w:rPr>
              <w:t xml:space="preserve"> niż połowa podmiotów publicznych w Polsce nie spełnia wymagań minimalnych dostępności architektonicznej, cyfrowej i </w:t>
            </w:r>
            <w:proofErr w:type="spellStart"/>
            <w:r w:rsidR="00BA6A6E" w:rsidRPr="00957B06">
              <w:rPr>
                <w:rFonts w:cs="Calibri"/>
                <w:color w:val="000000"/>
                <w:spacing w:val="-2"/>
                <w:u w:val="single"/>
              </w:rPr>
              <w:t>informacyjno</w:t>
            </w:r>
            <w:proofErr w:type="spellEnd"/>
            <w:r w:rsidR="00BA6A6E" w:rsidRPr="00957B06">
              <w:rPr>
                <w:rFonts w:cs="Calibri"/>
                <w:color w:val="000000"/>
                <w:spacing w:val="-2"/>
                <w:u w:val="single"/>
              </w:rPr>
              <w:t xml:space="preserve"> – komunikacyjnej</w:t>
            </w:r>
            <w:r w:rsidR="00BA6A6E" w:rsidRPr="00957B06">
              <w:rPr>
                <w:rFonts w:cs="Calibri"/>
                <w:color w:val="000000"/>
                <w:spacing w:val="-2"/>
              </w:rPr>
              <w:t xml:space="preserve"> określonych w art.  6 UZD.   </w:t>
            </w:r>
          </w:p>
          <w:p w14:paraId="0D35FEE9" w14:textId="0C15496A" w:rsidR="004C5B0D" w:rsidRPr="00957B06" w:rsidRDefault="004C5B0D" w:rsidP="004C5B0D">
            <w:pPr>
              <w:pStyle w:val="TableParagraph"/>
              <w:ind w:right="101"/>
              <w:jc w:val="both"/>
              <w:rPr>
                <w:rFonts w:cs="Calibri"/>
                <w:color w:val="000000"/>
                <w:spacing w:val="-2"/>
              </w:rPr>
            </w:pPr>
            <w:r w:rsidRPr="00957B06">
              <w:rPr>
                <w:rFonts w:cs="Calibri"/>
                <w:color w:val="000000"/>
                <w:spacing w:val="-2"/>
              </w:rPr>
              <w:t>(2)</w:t>
            </w:r>
          </w:p>
          <w:p w14:paraId="21503671" w14:textId="4C5B6A0E" w:rsidR="001A278D" w:rsidRPr="00957B06" w:rsidRDefault="004C5B0D" w:rsidP="00BC3856">
            <w:pPr>
              <w:pStyle w:val="TableParagraph"/>
              <w:ind w:left="0" w:right="101"/>
              <w:rPr>
                <w:rFonts w:cs="Calibri"/>
                <w:color w:val="000000"/>
                <w:spacing w:val="-2"/>
              </w:rPr>
            </w:pPr>
            <w:r w:rsidRPr="00957B06">
              <w:rPr>
                <w:rFonts w:cs="Calibri"/>
                <w:color w:val="000000"/>
                <w:spacing w:val="-2"/>
              </w:rPr>
              <w:t xml:space="preserve">Mechanizmem ustawy mającym poprawić obsługę obywateli ze szczególnymi potrzebami w sektorze publicznym jest </w:t>
            </w:r>
            <w:r w:rsidR="000B461D" w:rsidRPr="00957B06">
              <w:rPr>
                <w:rFonts w:cs="Calibri"/>
                <w:color w:val="000000"/>
                <w:spacing w:val="-2"/>
              </w:rPr>
              <w:t>funk</w:t>
            </w:r>
            <w:r w:rsidRPr="00957B06">
              <w:rPr>
                <w:rFonts w:cs="Calibri"/>
                <w:color w:val="000000"/>
                <w:spacing w:val="-2"/>
              </w:rPr>
              <w:t xml:space="preserve">cja </w:t>
            </w:r>
            <w:r w:rsidR="000B461D" w:rsidRPr="00957B06">
              <w:rPr>
                <w:rFonts w:cs="Calibri"/>
                <w:color w:val="000000"/>
                <w:spacing w:val="-2"/>
              </w:rPr>
              <w:t xml:space="preserve"> koordynatora</w:t>
            </w:r>
            <w:r w:rsidR="00D27771" w:rsidRPr="00957B06">
              <w:rPr>
                <w:rFonts w:cs="Calibri"/>
                <w:color w:val="000000"/>
                <w:spacing w:val="-2"/>
              </w:rPr>
              <w:t xml:space="preserve"> </w:t>
            </w:r>
            <w:r w:rsidRPr="00957B06">
              <w:rPr>
                <w:rFonts w:cs="Calibri"/>
                <w:color w:val="000000"/>
                <w:spacing w:val="-2"/>
              </w:rPr>
              <w:t>ds</w:t>
            </w:r>
            <w:r w:rsidR="00D27771" w:rsidRPr="00957B06">
              <w:rPr>
                <w:rFonts w:cs="Calibri"/>
                <w:color w:val="000000"/>
                <w:spacing w:val="-2"/>
              </w:rPr>
              <w:t>.</w:t>
            </w:r>
            <w:r w:rsidRPr="00957B06">
              <w:rPr>
                <w:rFonts w:cs="Calibri"/>
                <w:color w:val="000000"/>
                <w:spacing w:val="-2"/>
              </w:rPr>
              <w:t xml:space="preserve"> </w:t>
            </w:r>
            <w:r w:rsidR="000B461D" w:rsidRPr="00957B06">
              <w:rPr>
                <w:rFonts w:cs="Calibri"/>
                <w:color w:val="000000"/>
                <w:spacing w:val="-2"/>
              </w:rPr>
              <w:t>dostępności</w:t>
            </w:r>
            <w:r w:rsidRPr="00957B06">
              <w:rPr>
                <w:rFonts w:cs="Calibri"/>
                <w:color w:val="000000"/>
                <w:spacing w:val="-2"/>
              </w:rPr>
              <w:t xml:space="preserve"> obowiązkowa w niektórych podmiotach publicznych</w:t>
            </w:r>
            <w:r w:rsidR="000B461D" w:rsidRPr="00957B06">
              <w:rPr>
                <w:rFonts w:cs="Calibri"/>
                <w:color w:val="000000"/>
                <w:spacing w:val="-2"/>
              </w:rPr>
              <w:t xml:space="preserve">. </w:t>
            </w:r>
            <w:r w:rsidRPr="00957B06">
              <w:rPr>
                <w:rFonts w:cs="Calibri"/>
                <w:color w:val="000000"/>
                <w:spacing w:val="-2"/>
              </w:rPr>
              <w:t xml:space="preserve">Ustawa nie przewiduje jednak </w:t>
            </w:r>
            <w:r w:rsidR="00D27771" w:rsidRPr="00957B06">
              <w:rPr>
                <w:rFonts w:cs="Calibri"/>
                <w:color w:val="000000"/>
                <w:spacing w:val="-2"/>
              </w:rPr>
              <w:t>mechanizmów</w:t>
            </w:r>
            <w:r w:rsidRPr="00957B06">
              <w:rPr>
                <w:rFonts w:cs="Calibri"/>
                <w:color w:val="000000"/>
                <w:spacing w:val="-2"/>
              </w:rPr>
              <w:t xml:space="preserve"> monitorowania </w:t>
            </w:r>
            <w:r w:rsidR="00D27771" w:rsidRPr="00957B06">
              <w:rPr>
                <w:rFonts w:cs="Calibri"/>
                <w:color w:val="000000"/>
                <w:spacing w:val="-2"/>
              </w:rPr>
              <w:t>spełniania</w:t>
            </w:r>
            <w:r w:rsidRPr="00957B06">
              <w:rPr>
                <w:rFonts w:cs="Calibri"/>
                <w:color w:val="000000"/>
                <w:spacing w:val="-2"/>
              </w:rPr>
              <w:t xml:space="preserve"> tego</w:t>
            </w:r>
            <w:r w:rsidR="00D27771" w:rsidRPr="00957B06">
              <w:rPr>
                <w:rFonts w:cs="Calibri"/>
                <w:color w:val="000000"/>
                <w:spacing w:val="-2"/>
              </w:rPr>
              <w:t xml:space="preserve"> obowiązku</w:t>
            </w:r>
            <w:r w:rsidRPr="00957B06">
              <w:rPr>
                <w:rFonts w:cs="Calibri"/>
                <w:color w:val="000000"/>
                <w:spacing w:val="-2"/>
              </w:rPr>
              <w:t xml:space="preserve"> ani sankcji za brak jego spełniania. </w:t>
            </w:r>
            <w:r w:rsidR="00D27771" w:rsidRPr="00957B06">
              <w:rPr>
                <w:rFonts w:cs="Calibri"/>
                <w:color w:val="000000"/>
                <w:spacing w:val="-2"/>
              </w:rPr>
              <w:t>Z danych uzyskiwanych w oparciu o dobrowolne deklaracje osób pełniących tę funkcję lub podmiotów wyznaczających koordynatorów wynika</w:t>
            </w:r>
            <w:r w:rsidR="003D325A" w:rsidRPr="00957B06">
              <w:rPr>
                <w:rFonts w:cs="Calibri"/>
                <w:color w:val="000000"/>
                <w:spacing w:val="-2"/>
              </w:rPr>
              <w:t>,</w:t>
            </w:r>
            <w:r w:rsidR="00D27771" w:rsidRPr="00957B06">
              <w:rPr>
                <w:rFonts w:cs="Calibri"/>
                <w:color w:val="000000"/>
                <w:spacing w:val="-2"/>
              </w:rPr>
              <w:t xml:space="preserve"> </w:t>
            </w:r>
            <w:r w:rsidR="0026008F" w:rsidRPr="00957B06">
              <w:rPr>
                <w:rFonts w:cs="Calibri"/>
                <w:color w:val="000000"/>
                <w:spacing w:val="-2"/>
              </w:rPr>
              <w:t>że co najmniej</w:t>
            </w:r>
            <w:r w:rsidR="000B461D" w:rsidRPr="00957B06">
              <w:rPr>
                <w:rFonts w:cs="Calibri"/>
                <w:color w:val="000000"/>
                <w:spacing w:val="-2"/>
              </w:rPr>
              <w:t xml:space="preserve"> 3000 podmiotów publicznych</w:t>
            </w:r>
            <w:r w:rsidR="00D27771" w:rsidRPr="00957B06">
              <w:rPr>
                <w:rFonts w:cs="Calibri"/>
                <w:color w:val="000000"/>
                <w:spacing w:val="-2"/>
              </w:rPr>
              <w:t xml:space="preserve"> wyznaczyło taką funkcje</w:t>
            </w:r>
            <w:r w:rsidR="000B461D" w:rsidRPr="00957B06">
              <w:rPr>
                <w:rFonts w:cs="Calibri"/>
                <w:color w:val="000000"/>
                <w:spacing w:val="-2"/>
              </w:rPr>
              <w:t>.</w:t>
            </w:r>
            <w:r w:rsidR="006A7898" w:rsidRPr="00957B06">
              <w:rPr>
                <w:rFonts w:cs="Calibri"/>
                <w:color w:val="000000"/>
                <w:spacing w:val="-2"/>
              </w:rPr>
              <w:t xml:space="preserve"> Koordynator </w:t>
            </w:r>
            <w:r w:rsidR="00D27771" w:rsidRPr="00957B06">
              <w:rPr>
                <w:rFonts w:cs="Calibri"/>
                <w:color w:val="000000"/>
                <w:spacing w:val="-2"/>
              </w:rPr>
              <w:t xml:space="preserve">ma zadania związane z poprawą </w:t>
            </w:r>
            <w:r w:rsidR="006A7898" w:rsidRPr="00957B06">
              <w:rPr>
                <w:rFonts w:cs="Calibri"/>
                <w:color w:val="000000"/>
                <w:spacing w:val="-2"/>
              </w:rPr>
              <w:t>dostępności urzędu</w:t>
            </w:r>
            <w:r w:rsidR="00D27771" w:rsidRPr="00957B06">
              <w:rPr>
                <w:rFonts w:cs="Calibri"/>
                <w:color w:val="000000"/>
                <w:spacing w:val="-2"/>
              </w:rPr>
              <w:t xml:space="preserve"> w aspekcie art. 6</w:t>
            </w:r>
            <w:r w:rsidR="0012407B" w:rsidRPr="00957B06">
              <w:rPr>
                <w:rFonts w:cs="Calibri"/>
                <w:color w:val="000000"/>
                <w:spacing w:val="-2"/>
              </w:rPr>
              <w:t xml:space="preserve"> </w:t>
            </w:r>
            <w:r w:rsidR="00D27771" w:rsidRPr="00957B06">
              <w:rPr>
                <w:rFonts w:cs="Calibri"/>
                <w:color w:val="000000"/>
                <w:spacing w:val="-2"/>
              </w:rPr>
              <w:t>ale też wsparciem osób ze szczególnymi potrzebami w korzystaniu z usług  podmiotu</w:t>
            </w:r>
            <w:r w:rsidR="006A7898" w:rsidRPr="00957B06">
              <w:rPr>
                <w:rFonts w:cs="Calibri"/>
                <w:color w:val="000000"/>
                <w:spacing w:val="-2"/>
              </w:rPr>
              <w:t xml:space="preserve">. </w:t>
            </w:r>
            <w:r w:rsidR="00D27771" w:rsidRPr="00957B06">
              <w:rPr>
                <w:rFonts w:cs="Calibri"/>
                <w:color w:val="000000"/>
                <w:spacing w:val="-2"/>
              </w:rPr>
              <w:t>Wobec braku m</w:t>
            </w:r>
            <w:r w:rsidR="00236678" w:rsidRPr="00957B06">
              <w:rPr>
                <w:rFonts w:cs="Calibri"/>
                <w:color w:val="000000"/>
                <w:spacing w:val="-2"/>
              </w:rPr>
              <w:t>echanizm</w:t>
            </w:r>
            <w:r w:rsidR="000B461D" w:rsidRPr="00957B06">
              <w:rPr>
                <w:rFonts w:cs="Calibri"/>
                <w:color w:val="000000"/>
                <w:spacing w:val="-2"/>
              </w:rPr>
              <w:t xml:space="preserve"> monitorowania koordynatorów dostępności</w:t>
            </w:r>
            <w:r w:rsidR="0012407B" w:rsidRPr="00957B06">
              <w:rPr>
                <w:rFonts w:cs="Calibri"/>
                <w:color w:val="000000"/>
                <w:spacing w:val="-2"/>
              </w:rPr>
              <w:t xml:space="preserve"> nie ma wielu informacji potwierdzających skuteczność tej funkcji</w:t>
            </w:r>
            <w:r w:rsidR="001A278D" w:rsidRPr="00957B06">
              <w:rPr>
                <w:rFonts w:cs="Calibri"/>
                <w:color w:val="000000"/>
                <w:spacing w:val="-2"/>
              </w:rPr>
              <w:t xml:space="preserve"> z punktu widzenia samych osób ze szczególnymi potrzebami. </w:t>
            </w:r>
            <w:r w:rsidR="003D325A" w:rsidRPr="00957B06">
              <w:rPr>
                <w:rFonts w:cs="Calibri"/>
                <w:color w:val="000000"/>
                <w:spacing w:val="-2"/>
              </w:rPr>
              <w:br/>
            </w:r>
            <w:r w:rsidR="0012407B" w:rsidRPr="00957B06">
              <w:rPr>
                <w:rFonts w:cs="Calibri"/>
                <w:color w:val="000000"/>
                <w:spacing w:val="-2"/>
              </w:rPr>
              <w:t>Z</w:t>
            </w:r>
            <w:r w:rsidR="00D27771" w:rsidRPr="00957B06">
              <w:rPr>
                <w:rFonts w:cs="Calibri"/>
                <w:color w:val="000000"/>
                <w:spacing w:val="-2"/>
              </w:rPr>
              <w:t xml:space="preserve"> powołanego badania ewaluacyjnego</w:t>
            </w:r>
            <w:r w:rsidR="003D325A" w:rsidRPr="00957B06">
              <w:rPr>
                <w:rFonts w:cs="Calibri"/>
                <w:color w:val="000000"/>
                <w:spacing w:val="-2"/>
              </w:rPr>
              <w:t xml:space="preserve"> działania przepisów UZD</w:t>
            </w:r>
            <w:r w:rsidR="00D27771" w:rsidRPr="00957B06">
              <w:rPr>
                <w:rFonts w:cs="Calibri"/>
                <w:color w:val="000000"/>
                <w:spacing w:val="-2"/>
              </w:rPr>
              <w:t xml:space="preserve"> wynika</w:t>
            </w:r>
            <w:r w:rsidR="001A278D" w:rsidRPr="00957B06">
              <w:rPr>
                <w:rFonts w:cs="Calibri"/>
                <w:color w:val="000000"/>
                <w:spacing w:val="-2"/>
              </w:rPr>
              <w:t xml:space="preserve"> że tylko 46% spośród badanych 365 osób ze szczególnymi potrzebami wskazało że zwróciłoby się do takiej osoby w podmiocie publicznym o pomoc w zapewnieniu dostępności. Jednocześnie </w:t>
            </w:r>
            <w:r w:rsidR="00236678" w:rsidRPr="00957B06">
              <w:rPr>
                <w:rFonts w:cs="Calibri"/>
                <w:color w:val="000000"/>
                <w:spacing w:val="-2"/>
              </w:rPr>
              <w:t>wprowadzenie</w:t>
            </w:r>
            <w:r w:rsidR="00D27771" w:rsidRPr="00957B06">
              <w:rPr>
                <w:rFonts w:cs="Calibri"/>
                <w:color w:val="000000"/>
                <w:spacing w:val="-2"/>
              </w:rPr>
              <w:t xml:space="preserve"> ww. funkcji </w:t>
            </w:r>
            <w:r w:rsidR="0012407B" w:rsidRPr="00957B06">
              <w:rPr>
                <w:rFonts w:cs="Calibri"/>
                <w:color w:val="000000"/>
                <w:spacing w:val="-2"/>
              </w:rPr>
              <w:t>jest dobrze oceniane</w:t>
            </w:r>
            <w:r w:rsidR="001A278D" w:rsidRPr="00957B06">
              <w:rPr>
                <w:rFonts w:cs="Calibri"/>
                <w:color w:val="000000"/>
                <w:spacing w:val="-2"/>
              </w:rPr>
              <w:t xml:space="preserve"> w ww. ewaluacji - </w:t>
            </w:r>
            <w:r w:rsidR="0012407B" w:rsidRPr="00957B06">
              <w:rPr>
                <w:rFonts w:cs="Calibri"/>
                <w:color w:val="000000"/>
                <w:spacing w:val="-2"/>
              </w:rPr>
              <w:t xml:space="preserve"> </w:t>
            </w:r>
            <w:r w:rsidR="001A278D" w:rsidRPr="00957B06">
              <w:rPr>
                <w:rFonts w:cs="Calibri"/>
                <w:color w:val="000000"/>
                <w:spacing w:val="-2"/>
              </w:rPr>
              <w:t xml:space="preserve">dzięki tej funkcji </w:t>
            </w:r>
            <w:r w:rsidR="0012407B" w:rsidRPr="00957B06">
              <w:rPr>
                <w:rFonts w:cs="Calibri"/>
                <w:color w:val="000000"/>
                <w:spacing w:val="-2"/>
              </w:rPr>
              <w:t>tematyka dostępności jest zaakcentowana w danym podmiocie</w:t>
            </w:r>
            <w:r w:rsidR="001A278D" w:rsidRPr="00957B06">
              <w:rPr>
                <w:rFonts w:cs="Calibri"/>
                <w:color w:val="000000"/>
                <w:spacing w:val="-2"/>
              </w:rPr>
              <w:t>,</w:t>
            </w:r>
            <w:r w:rsidR="0012407B" w:rsidRPr="00957B06">
              <w:rPr>
                <w:rFonts w:cs="Calibri"/>
                <w:color w:val="000000"/>
                <w:spacing w:val="-2"/>
              </w:rPr>
              <w:t xml:space="preserve"> ale jednocześnie aby działania koordynatorów mogły być</w:t>
            </w:r>
            <w:r w:rsidR="001A278D" w:rsidRPr="00957B06">
              <w:rPr>
                <w:rFonts w:cs="Calibri"/>
                <w:color w:val="000000"/>
                <w:spacing w:val="-2"/>
              </w:rPr>
              <w:t xml:space="preserve"> </w:t>
            </w:r>
            <w:r w:rsidR="0012407B" w:rsidRPr="00957B06">
              <w:rPr>
                <w:rFonts w:cs="Calibri"/>
                <w:color w:val="000000"/>
                <w:spacing w:val="-2"/>
              </w:rPr>
              <w:t xml:space="preserve">skuteczne potrzebne byłoby wzmocnienie tej funkcji. </w:t>
            </w:r>
            <w:r w:rsidR="001A278D" w:rsidRPr="00957B06">
              <w:rPr>
                <w:rFonts w:cs="Calibri"/>
                <w:color w:val="000000"/>
                <w:spacing w:val="-2"/>
              </w:rPr>
              <w:t xml:space="preserve"> </w:t>
            </w:r>
            <w:r w:rsidR="0012407B" w:rsidRPr="00957B06">
              <w:rPr>
                <w:rFonts w:cs="Calibri"/>
                <w:color w:val="000000"/>
                <w:spacing w:val="-2"/>
              </w:rPr>
              <w:t xml:space="preserve">Pozytywnym i nieoczekiwanym skutkiem funkcjonowania </w:t>
            </w:r>
            <w:r w:rsidR="001A278D" w:rsidRPr="00957B06">
              <w:rPr>
                <w:rFonts w:cs="Calibri"/>
                <w:color w:val="000000"/>
                <w:spacing w:val="-2"/>
              </w:rPr>
              <w:t xml:space="preserve">przepisów art. 14 </w:t>
            </w:r>
            <w:r w:rsidR="0012407B" w:rsidRPr="00957B06">
              <w:rPr>
                <w:rFonts w:cs="Calibri"/>
                <w:color w:val="000000"/>
                <w:spacing w:val="-2"/>
              </w:rPr>
              <w:t>ustawy</w:t>
            </w:r>
            <w:r w:rsidR="001A278D" w:rsidRPr="00957B06">
              <w:rPr>
                <w:rFonts w:cs="Calibri"/>
                <w:color w:val="000000"/>
                <w:spacing w:val="-2"/>
              </w:rPr>
              <w:t xml:space="preserve"> </w:t>
            </w:r>
            <w:r w:rsidR="0012407B" w:rsidRPr="00957B06">
              <w:rPr>
                <w:rFonts w:cs="Calibri"/>
                <w:color w:val="000000"/>
                <w:spacing w:val="-2"/>
              </w:rPr>
              <w:t xml:space="preserve">jest fakt iż </w:t>
            </w:r>
            <w:r w:rsidR="00236678" w:rsidRPr="00957B06">
              <w:rPr>
                <w:rFonts w:cs="Calibri"/>
                <w:color w:val="000000"/>
                <w:spacing w:val="-2"/>
              </w:rPr>
              <w:t>mimo wyraźnego braku takie</w:t>
            </w:r>
            <w:r w:rsidR="003D325A" w:rsidRPr="00957B06">
              <w:rPr>
                <w:rFonts w:cs="Calibri"/>
                <w:color w:val="000000"/>
                <w:spacing w:val="-2"/>
              </w:rPr>
              <w:t xml:space="preserve">go </w:t>
            </w:r>
            <w:r w:rsidR="00236678" w:rsidRPr="00957B06">
              <w:rPr>
                <w:rFonts w:cs="Calibri"/>
                <w:color w:val="000000"/>
                <w:spacing w:val="-2"/>
              </w:rPr>
              <w:t xml:space="preserve">obowiązku </w:t>
            </w:r>
            <w:r w:rsidR="000B461D" w:rsidRPr="00957B06">
              <w:rPr>
                <w:rFonts w:cs="Calibri"/>
                <w:color w:val="000000"/>
                <w:spacing w:val="-2"/>
              </w:rPr>
              <w:t xml:space="preserve">funkcję </w:t>
            </w:r>
            <w:r w:rsidR="0012407B" w:rsidRPr="00957B06">
              <w:rPr>
                <w:rFonts w:cs="Calibri"/>
                <w:color w:val="000000"/>
                <w:spacing w:val="-2"/>
              </w:rPr>
              <w:t xml:space="preserve">koordynatora wyznaczają </w:t>
            </w:r>
            <w:r w:rsidR="00E15119" w:rsidRPr="00957B06">
              <w:rPr>
                <w:rFonts w:cs="Calibri"/>
                <w:color w:val="000000"/>
                <w:spacing w:val="-2"/>
              </w:rPr>
              <w:t>często</w:t>
            </w:r>
            <w:r w:rsidR="0012407B" w:rsidRPr="00957B06">
              <w:rPr>
                <w:rFonts w:cs="Calibri"/>
                <w:color w:val="000000"/>
                <w:spacing w:val="-2"/>
              </w:rPr>
              <w:t xml:space="preserve"> podmioty takie jak instytucje kultury, czy </w:t>
            </w:r>
            <w:r w:rsidR="000B461D" w:rsidRPr="00957B06">
              <w:rPr>
                <w:rFonts w:cs="Calibri"/>
                <w:color w:val="000000"/>
                <w:spacing w:val="-2"/>
              </w:rPr>
              <w:t>uczelnie i szkoły niepubliczne</w:t>
            </w:r>
            <w:r w:rsidR="00E15119" w:rsidRPr="00957B06">
              <w:rPr>
                <w:rFonts w:cs="Calibri"/>
                <w:color w:val="000000"/>
                <w:spacing w:val="-2"/>
              </w:rPr>
              <w:t xml:space="preserve">. </w:t>
            </w:r>
          </w:p>
          <w:p w14:paraId="6A0076DF" w14:textId="023186D2" w:rsidR="003D325A" w:rsidRPr="00957B06" w:rsidRDefault="003D325A" w:rsidP="003D325A">
            <w:pPr>
              <w:pStyle w:val="TableParagraph"/>
              <w:ind w:left="0" w:right="101"/>
              <w:rPr>
                <w:rFonts w:cs="Calibri"/>
                <w:color w:val="000000"/>
                <w:spacing w:val="-2"/>
              </w:rPr>
            </w:pPr>
            <w:r w:rsidRPr="00957B06">
              <w:rPr>
                <w:rFonts w:cs="Calibri"/>
                <w:color w:val="000000"/>
                <w:spacing w:val="-2"/>
              </w:rPr>
              <w:t xml:space="preserve">Trzeba zaznaczyć że MFIPR nie ma informacji nt. realizacji  badań oceniających zmiany sposobu obsługi klientów w kontekście obowiązywania przepisów UZD </w:t>
            </w:r>
          </w:p>
          <w:p w14:paraId="7EDBD814" w14:textId="7C53A16B" w:rsidR="00E15119" w:rsidRPr="00957B06" w:rsidRDefault="00E15119">
            <w:pPr>
              <w:pStyle w:val="TableParagraph"/>
              <w:ind w:right="101"/>
              <w:jc w:val="both"/>
              <w:rPr>
                <w:rFonts w:cs="Calibri"/>
                <w:color w:val="000000"/>
                <w:spacing w:val="-2"/>
              </w:rPr>
            </w:pPr>
            <w:r w:rsidRPr="00957B06">
              <w:rPr>
                <w:rFonts w:cs="Calibri"/>
                <w:color w:val="000000"/>
                <w:spacing w:val="-2"/>
              </w:rPr>
              <w:t>(3)</w:t>
            </w:r>
          </w:p>
          <w:p w14:paraId="12875056" w14:textId="3A32CE5C" w:rsidR="00AB54A4" w:rsidRPr="00957B06" w:rsidRDefault="000A32F0" w:rsidP="0054124A">
            <w:pPr>
              <w:pStyle w:val="TableParagraph"/>
              <w:ind w:left="0" w:right="101"/>
              <w:rPr>
                <w:rFonts w:cs="Calibri"/>
                <w:color w:val="000000"/>
                <w:spacing w:val="-2"/>
              </w:rPr>
            </w:pPr>
            <w:r w:rsidRPr="00957B06">
              <w:rPr>
                <w:rFonts w:cs="Calibri"/>
                <w:color w:val="000000"/>
                <w:spacing w:val="-2"/>
              </w:rPr>
              <w:t>Definicj</w:t>
            </w:r>
            <w:r w:rsidR="00D11556" w:rsidRPr="00957B06">
              <w:rPr>
                <w:rFonts w:cs="Calibri"/>
                <w:color w:val="000000"/>
                <w:spacing w:val="-2"/>
              </w:rPr>
              <w:t>a osoby ze szczególnymi potrzebami wprowadzona</w:t>
            </w:r>
            <w:r w:rsidR="00A0194A" w:rsidRPr="00957B06">
              <w:rPr>
                <w:rFonts w:cs="Calibri"/>
                <w:color w:val="000000"/>
                <w:spacing w:val="-2"/>
              </w:rPr>
              <w:t xml:space="preserve"> ustawą została przywołana w co najmniej w 14 ustawach zmienianych wraz z jej wejście w życie. </w:t>
            </w:r>
            <w:r w:rsidR="0026008F" w:rsidRPr="00957B06">
              <w:rPr>
                <w:rFonts w:cs="Calibri"/>
                <w:color w:val="000000"/>
                <w:spacing w:val="-2"/>
              </w:rPr>
              <w:t xml:space="preserve"> </w:t>
            </w:r>
            <w:r w:rsidR="00584548" w:rsidRPr="00957B06">
              <w:rPr>
                <w:rFonts w:cs="Calibri"/>
                <w:color w:val="000000"/>
                <w:spacing w:val="-2"/>
              </w:rPr>
              <w:t>Jednocześnie</w:t>
            </w:r>
            <w:r w:rsidR="0026008F" w:rsidRPr="00957B06">
              <w:rPr>
                <w:rFonts w:cs="Calibri"/>
                <w:color w:val="000000"/>
                <w:spacing w:val="-2"/>
              </w:rPr>
              <w:t>,</w:t>
            </w:r>
            <w:r w:rsidR="00584548" w:rsidRPr="00957B06">
              <w:rPr>
                <w:rFonts w:cs="Calibri"/>
                <w:color w:val="000000"/>
                <w:spacing w:val="-2"/>
              </w:rPr>
              <w:t xml:space="preserve"> w </w:t>
            </w:r>
            <w:r w:rsidR="00094155" w:rsidRPr="00957B06">
              <w:rPr>
                <w:rFonts w:cs="Calibri"/>
                <w:color w:val="000000"/>
                <w:spacing w:val="-2"/>
              </w:rPr>
              <w:t>kluczow</w:t>
            </w:r>
            <w:r w:rsidR="00584548" w:rsidRPr="00957B06">
              <w:rPr>
                <w:rFonts w:cs="Calibri"/>
                <w:color w:val="000000"/>
                <w:spacing w:val="-2"/>
              </w:rPr>
              <w:t xml:space="preserve">ej </w:t>
            </w:r>
            <w:r w:rsidR="00094155" w:rsidRPr="00957B06">
              <w:rPr>
                <w:rFonts w:cs="Calibri"/>
                <w:color w:val="000000"/>
                <w:spacing w:val="-2"/>
              </w:rPr>
              <w:t xml:space="preserve">dla </w:t>
            </w:r>
            <w:r w:rsidR="00584548" w:rsidRPr="00957B06">
              <w:rPr>
                <w:rFonts w:cs="Calibri"/>
                <w:color w:val="000000"/>
                <w:spacing w:val="-2"/>
              </w:rPr>
              <w:t xml:space="preserve">kształtowania warunków </w:t>
            </w:r>
            <w:r w:rsidR="00094155" w:rsidRPr="00957B06">
              <w:rPr>
                <w:rFonts w:cs="Calibri"/>
                <w:color w:val="000000"/>
                <w:spacing w:val="-2"/>
              </w:rPr>
              <w:t>rozwoju dostępności</w:t>
            </w:r>
            <w:r w:rsidR="00584548" w:rsidRPr="00957B06">
              <w:rPr>
                <w:rFonts w:cs="Calibri"/>
                <w:color w:val="000000"/>
                <w:spacing w:val="-2"/>
              </w:rPr>
              <w:t xml:space="preserve"> architektonicznej </w:t>
            </w:r>
            <w:r w:rsidR="00094155" w:rsidRPr="00957B06">
              <w:rPr>
                <w:rFonts w:cs="Calibri"/>
                <w:color w:val="000000"/>
                <w:spacing w:val="-2"/>
              </w:rPr>
              <w:t>ustaw</w:t>
            </w:r>
            <w:r w:rsidR="00584548" w:rsidRPr="00957B06">
              <w:rPr>
                <w:rFonts w:cs="Calibri"/>
                <w:color w:val="000000"/>
                <w:spacing w:val="-2"/>
              </w:rPr>
              <w:t xml:space="preserve">ie </w:t>
            </w:r>
            <w:r w:rsidR="00094155" w:rsidRPr="00957B06">
              <w:rPr>
                <w:rFonts w:cs="Calibri"/>
                <w:color w:val="000000"/>
                <w:spacing w:val="-2"/>
              </w:rPr>
              <w:t xml:space="preserve">Prawo Budowlane </w:t>
            </w:r>
            <w:r w:rsidR="008D3016" w:rsidRPr="00957B06">
              <w:rPr>
                <w:rFonts w:cs="Calibri"/>
                <w:color w:val="000000"/>
                <w:spacing w:val="-2"/>
              </w:rPr>
              <w:t xml:space="preserve">(PB) </w:t>
            </w:r>
            <w:r w:rsidR="00C17096" w:rsidRPr="00957B06">
              <w:rPr>
                <w:rFonts w:cs="Calibri"/>
                <w:color w:val="000000"/>
                <w:spacing w:val="-2"/>
              </w:rPr>
              <w:t xml:space="preserve">przywołano </w:t>
            </w:r>
            <w:r w:rsidR="00094155" w:rsidRPr="00957B06">
              <w:rPr>
                <w:rFonts w:cs="Calibri"/>
                <w:color w:val="000000"/>
                <w:spacing w:val="-2"/>
              </w:rPr>
              <w:t xml:space="preserve">terminu </w:t>
            </w:r>
            <w:r w:rsidR="00A855E4" w:rsidRPr="00957B06">
              <w:rPr>
                <w:rFonts w:cs="Calibri"/>
                <w:color w:val="000000"/>
                <w:spacing w:val="-2"/>
              </w:rPr>
              <w:t>„</w:t>
            </w:r>
            <w:r w:rsidR="00094155" w:rsidRPr="00957B06">
              <w:rPr>
                <w:rFonts w:cs="Calibri"/>
                <w:color w:val="000000"/>
                <w:spacing w:val="-2"/>
              </w:rPr>
              <w:t>osoby ze szczególnymi potrzebami</w:t>
            </w:r>
            <w:r w:rsidR="00A855E4" w:rsidRPr="00957B06">
              <w:rPr>
                <w:rFonts w:cs="Calibri"/>
                <w:color w:val="000000"/>
                <w:spacing w:val="-2"/>
              </w:rPr>
              <w:t>”</w:t>
            </w:r>
            <w:r w:rsidR="00AB54A4" w:rsidRPr="00957B06">
              <w:rPr>
                <w:rFonts w:cs="Calibri"/>
                <w:color w:val="000000"/>
                <w:spacing w:val="-2"/>
              </w:rPr>
              <w:t xml:space="preserve"> (art. 7 ust. 4, 9 ust. 1, 34 ust. 2) </w:t>
            </w:r>
            <w:r w:rsidR="00C17096" w:rsidRPr="00957B06">
              <w:rPr>
                <w:rFonts w:cs="Calibri"/>
                <w:color w:val="000000"/>
                <w:spacing w:val="-2"/>
              </w:rPr>
              <w:t xml:space="preserve">oraz </w:t>
            </w:r>
            <w:r w:rsidR="00A855E4" w:rsidRPr="00957B06">
              <w:rPr>
                <w:rFonts w:cs="Calibri"/>
                <w:color w:val="000000"/>
                <w:spacing w:val="-2"/>
              </w:rPr>
              <w:t xml:space="preserve">dokonano </w:t>
            </w:r>
            <w:r w:rsidR="00094155" w:rsidRPr="00957B06">
              <w:rPr>
                <w:rFonts w:cs="Calibri"/>
                <w:color w:val="000000"/>
                <w:spacing w:val="-2"/>
              </w:rPr>
              <w:t>rozszerz</w:t>
            </w:r>
            <w:r w:rsidR="00A855E4" w:rsidRPr="00957B06">
              <w:rPr>
                <w:rFonts w:cs="Calibri"/>
                <w:color w:val="000000"/>
                <w:spacing w:val="-2"/>
              </w:rPr>
              <w:t xml:space="preserve">enia </w:t>
            </w:r>
            <w:r w:rsidR="00094155" w:rsidRPr="00957B06">
              <w:rPr>
                <w:rFonts w:cs="Calibri"/>
                <w:color w:val="000000"/>
                <w:spacing w:val="-2"/>
              </w:rPr>
              <w:t>definicj</w:t>
            </w:r>
            <w:r w:rsidR="00A855E4" w:rsidRPr="00957B06">
              <w:rPr>
                <w:rFonts w:cs="Calibri"/>
                <w:color w:val="000000"/>
                <w:spacing w:val="-2"/>
              </w:rPr>
              <w:t>i pojęcia „</w:t>
            </w:r>
            <w:r w:rsidR="00094155" w:rsidRPr="00957B06">
              <w:rPr>
                <w:rFonts w:cs="Calibri"/>
                <w:color w:val="000000"/>
                <w:spacing w:val="-2"/>
              </w:rPr>
              <w:t>osob</w:t>
            </w:r>
            <w:r w:rsidR="00A855E4" w:rsidRPr="00957B06">
              <w:rPr>
                <w:rFonts w:cs="Calibri"/>
                <w:color w:val="000000"/>
                <w:spacing w:val="-2"/>
              </w:rPr>
              <w:t>a</w:t>
            </w:r>
            <w:r w:rsidR="00094155" w:rsidRPr="00957B06">
              <w:rPr>
                <w:rFonts w:cs="Calibri"/>
                <w:color w:val="000000"/>
                <w:spacing w:val="-2"/>
              </w:rPr>
              <w:t xml:space="preserve"> niepełnosp</w:t>
            </w:r>
            <w:r w:rsidR="00F274FC" w:rsidRPr="00957B06">
              <w:rPr>
                <w:rFonts w:cs="Calibri"/>
                <w:color w:val="000000"/>
                <w:spacing w:val="-2"/>
              </w:rPr>
              <w:t>rawn</w:t>
            </w:r>
            <w:r w:rsidR="00A855E4" w:rsidRPr="00957B06">
              <w:rPr>
                <w:rFonts w:cs="Calibri"/>
                <w:color w:val="000000"/>
                <w:spacing w:val="-2"/>
              </w:rPr>
              <w:t>a” (poprzez odwołanie do Konwencji ONZ o prawach osób niepełnosprawnych i wskazanie na osoby starsze) tak że</w:t>
            </w:r>
            <w:r w:rsidR="00F274FC" w:rsidRPr="00957B06">
              <w:rPr>
                <w:rFonts w:cs="Calibri"/>
                <w:color w:val="000000"/>
                <w:spacing w:val="-2"/>
              </w:rPr>
              <w:t xml:space="preserve"> termin </w:t>
            </w:r>
            <w:r w:rsidR="00A855E4" w:rsidRPr="00957B06">
              <w:rPr>
                <w:rFonts w:cs="Calibri"/>
                <w:color w:val="000000"/>
                <w:spacing w:val="-2"/>
              </w:rPr>
              <w:t xml:space="preserve">ten jest </w:t>
            </w:r>
            <w:r w:rsidR="00F274FC" w:rsidRPr="00957B06">
              <w:rPr>
                <w:rFonts w:cs="Calibri"/>
                <w:color w:val="000000"/>
                <w:spacing w:val="-2"/>
              </w:rPr>
              <w:t>zbliżony zakresem do pojęcia osoby ze szczególnymi potrzebami</w:t>
            </w:r>
            <w:r w:rsidR="00584548" w:rsidRPr="00957B06">
              <w:rPr>
                <w:rFonts w:cs="Calibri"/>
                <w:color w:val="000000"/>
                <w:spacing w:val="-2"/>
              </w:rPr>
              <w:t xml:space="preserve"> </w:t>
            </w:r>
            <w:r w:rsidR="00AB54A4" w:rsidRPr="00957B06">
              <w:rPr>
                <w:rFonts w:cs="Calibri"/>
                <w:color w:val="000000"/>
                <w:spacing w:val="-2"/>
              </w:rPr>
              <w:t>(a</w:t>
            </w:r>
            <w:r w:rsidR="00F274FC" w:rsidRPr="00957B06">
              <w:rPr>
                <w:rFonts w:cs="Calibri"/>
                <w:color w:val="000000"/>
                <w:spacing w:val="-2"/>
              </w:rPr>
              <w:t>rt. 5 ust. 1 pkt 4 ustawy</w:t>
            </w:r>
            <w:r w:rsidR="00C670D9" w:rsidRPr="00957B06">
              <w:rPr>
                <w:rFonts w:cs="Calibri"/>
                <w:color w:val="000000"/>
                <w:spacing w:val="-2"/>
              </w:rPr>
              <w:t xml:space="preserve"> P</w:t>
            </w:r>
            <w:r w:rsidR="00F274FC" w:rsidRPr="00957B06">
              <w:rPr>
                <w:rFonts w:cs="Calibri"/>
                <w:color w:val="000000"/>
                <w:spacing w:val="-2"/>
              </w:rPr>
              <w:t xml:space="preserve">rawo </w:t>
            </w:r>
            <w:r w:rsidR="00C670D9" w:rsidRPr="00957B06">
              <w:rPr>
                <w:rFonts w:cs="Calibri"/>
                <w:color w:val="000000"/>
                <w:spacing w:val="-2"/>
              </w:rPr>
              <w:t>B</w:t>
            </w:r>
            <w:r w:rsidR="00F274FC" w:rsidRPr="00957B06">
              <w:rPr>
                <w:rFonts w:cs="Calibri"/>
                <w:color w:val="000000"/>
                <w:spacing w:val="-2"/>
              </w:rPr>
              <w:t>udowlane</w:t>
            </w:r>
            <w:r w:rsidR="00A855E4" w:rsidRPr="00957B06">
              <w:rPr>
                <w:rFonts w:cs="Calibri"/>
                <w:color w:val="000000"/>
                <w:spacing w:val="-2"/>
              </w:rPr>
              <w:t>.</w:t>
            </w:r>
            <w:r w:rsidR="00AB54A4" w:rsidRPr="00957B06">
              <w:rPr>
                <w:rFonts w:cs="Calibri"/>
                <w:color w:val="000000"/>
                <w:spacing w:val="-2"/>
              </w:rPr>
              <w:t>)</w:t>
            </w:r>
          </w:p>
          <w:p w14:paraId="4EB51434" w14:textId="6CAB66F1" w:rsidR="00AB54A4" w:rsidRPr="00957B06" w:rsidRDefault="00A855E4" w:rsidP="0054124A">
            <w:pPr>
              <w:pStyle w:val="TableParagraph"/>
              <w:ind w:left="0" w:right="101"/>
              <w:rPr>
                <w:rFonts w:cs="Calibri"/>
                <w:color w:val="000000"/>
                <w:spacing w:val="-2"/>
              </w:rPr>
            </w:pPr>
            <w:r w:rsidRPr="00957B06">
              <w:rPr>
                <w:rFonts w:cs="Calibri"/>
                <w:color w:val="000000"/>
                <w:spacing w:val="-2"/>
              </w:rPr>
              <w:t xml:space="preserve">Zapis </w:t>
            </w:r>
            <w:r w:rsidR="00AB54A4" w:rsidRPr="00957B06">
              <w:rPr>
                <w:rFonts w:cs="Calibri"/>
                <w:color w:val="000000"/>
                <w:spacing w:val="-2"/>
              </w:rPr>
              <w:t xml:space="preserve">art.  5 ust. 1 pkt 4 ww. ustawy </w:t>
            </w:r>
            <w:r w:rsidRPr="00957B06">
              <w:rPr>
                <w:rFonts w:cs="Calibri"/>
                <w:color w:val="000000"/>
                <w:spacing w:val="-2"/>
              </w:rPr>
              <w:t xml:space="preserve">wymaga zapewnienia niezbędnych warunków do korzystania z obiektów użyteczności publicznej i mieszkaniowego budownictwa wielorodzinnego przez ww. osoby.  </w:t>
            </w:r>
            <w:r w:rsidR="00F274FC" w:rsidRPr="00957B06">
              <w:rPr>
                <w:rFonts w:cs="Calibri"/>
                <w:color w:val="000000"/>
                <w:spacing w:val="-2"/>
              </w:rPr>
              <w:t>Definicj</w:t>
            </w:r>
            <w:r w:rsidRPr="00957B06">
              <w:rPr>
                <w:rFonts w:cs="Calibri"/>
                <w:color w:val="000000"/>
                <w:spacing w:val="-2"/>
              </w:rPr>
              <w:t>ę</w:t>
            </w:r>
            <w:r w:rsidR="00F274FC" w:rsidRPr="00957B06">
              <w:rPr>
                <w:rFonts w:cs="Calibri"/>
                <w:color w:val="000000"/>
                <w:spacing w:val="-2"/>
              </w:rPr>
              <w:t xml:space="preserve"> te powiela rozporządzenie wykonawcze do ww. ustawy - </w:t>
            </w:r>
            <w:r w:rsidR="00584548" w:rsidRPr="00957B06">
              <w:rPr>
                <w:rFonts w:cs="Calibri"/>
                <w:color w:val="000000"/>
                <w:spacing w:val="-2"/>
              </w:rPr>
              <w:t>rozporządzenie Ministra Infrastruktury w sprawie warunków technicznych, jakim powinny odpowiadać budynki i ich usytuowanie określające zasady i techniczne paramet</w:t>
            </w:r>
            <w:r w:rsidR="00AC28D2" w:rsidRPr="00957B06">
              <w:rPr>
                <w:rFonts w:cs="Calibri"/>
                <w:color w:val="000000"/>
                <w:spacing w:val="-2"/>
              </w:rPr>
              <w:t>r</w:t>
            </w:r>
            <w:r w:rsidR="00584548" w:rsidRPr="00957B06">
              <w:rPr>
                <w:rFonts w:cs="Calibri"/>
                <w:color w:val="000000"/>
                <w:spacing w:val="-2"/>
              </w:rPr>
              <w:t xml:space="preserve">y dotyczące </w:t>
            </w:r>
            <w:r w:rsidR="00B42717" w:rsidRPr="00957B06">
              <w:rPr>
                <w:rFonts w:cs="Calibri"/>
                <w:color w:val="000000"/>
                <w:spacing w:val="-2"/>
              </w:rPr>
              <w:t>projektowa</w:t>
            </w:r>
            <w:r w:rsidR="00584548" w:rsidRPr="00957B06">
              <w:rPr>
                <w:rFonts w:cs="Calibri"/>
                <w:color w:val="000000"/>
                <w:spacing w:val="-2"/>
              </w:rPr>
              <w:t xml:space="preserve">nia </w:t>
            </w:r>
            <w:r w:rsidR="00E74804" w:rsidRPr="00957B06">
              <w:rPr>
                <w:rFonts w:cs="Calibri"/>
                <w:color w:val="000000"/>
                <w:spacing w:val="-2"/>
              </w:rPr>
              <w:t>budynk</w:t>
            </w:r>
            <w:r w:rsidR="00C670D9" w:rsidRPr="00957B06">
              <w:rPr>
                <w:rFonts w:cs="Calibri"/>
                <w:color w:val="000000"/>
                <w:spacing w:val="-2"/>
              </w:rPr>
              <w:t>ów (dalej</w:t>
            </w:r>
            <w:r w:rsidR="003D325A" w:rsidRPr="00957B06">
              <w:rPr>
                <w:rFonts w:cs="Calibri"/>
                <w:color w:val="000000"/>
                <w:spacing w:val="-2"/>
              </w:rPr>
              <w:t>:</w:t>
            </w:r>
            <w:r w:rsidR="00C670D9" w:rsidRPr="00957B06">
              <w:rPr>
                <w:rFonts w:cs="Calibri"/>
                <w:color w:val="000000"/>
                <w:spacing w:val="-2"/>
              </w:rPr>
              <w:t xml:space="preserve"> </w:t>
            </w:r>
            <w:r w:rsidR="000E6405" w:rsidRPr="00957B06">
              <w:rPr>
                <w:rFonts w:cs="Calibri"/>
                <w:color w:val="000000"/>
                <w:spacing w:val="-2"/>
              </w:rPr>
              <w:t xml:space="preserve"> Warunk</w:t>
            </w:r>
            <w:r w:rsidR="00C670D9" w:rsidRPr="00957B06">
              <w:rPr>
                <w:rFonts w:cs="Calibri"/>
                <w:color w:val="000000"/>
                <w:spacing w:val="-2"/>
              </w:rPr>
              <w:t xml:space="preserve">i </w:t>
            </w:r>
            <w:r w:rsidR="000E6405" w:rsidRPr="00957B06">
              <w:rPr>
                <w:rFonts w:cs="Calibri"/>
                <w:color w:val="000000"/>
                <w:spacing w:val="-2"/>
              </w:rPr>
              <w:t>Techniczn</w:t>
            </w:r>
            <w:r w:rsidR="00C670D9" w:rsidRPr="00957B06">
              <w:rPr>
                <w:rFonts w:cs="Calibri"/>
                <w:color w:val="000000"/>
                <w:spacing w:val="-2"/>
              </w:rPr>
              <w:t>e lub WT).</w:t>
            </w:r>
            <w:r w:rsidR="00AB54A4" w:rsidRPr="00957B06">
              <w:rPr>
                <w:rFonts w:cs="Calibri"/>
                <w:color w:val="000000"/>
                <w:spacing w:val="-2"/>
              </w:rPr>
              <w:t xml:space="preserve"> </w:t>
            </w:r>
          </w:p>
          <w:p w14:paraId="4ED3C7E7" w14:textId="18CE6695" w:rsidR="008D3016" w:rsidRPr="00957B06" w:rsidRDefault="00AB54A4" w:rsidP="0054124A">
            <w:pPr>
              <w:pStyle w:val="TableParagraph"/>
              <w:ind w:left="0" w:right="101"/>
              <w:rPr>
                <w:rFonts w:cs="Calibri"/>
                <w:color w:val="000000"/>
                <w:spacing w:val="-2"/>
              </w:rPr>
            </w:pPr>
            <w:r w:rsidRPr="00957B06">
              <w:rPr>
                <w:rFonts w:cs="Calibri"/>
                <w:color w:val="000000"/>
                <w:spacing w:val="-2"/>
              </w:rPr>
              <w:t xml:space="preserve">W  pozostałych  ww. art. </w:t>
            </w:r>
            <w:r w:rsidR="008D3016" w:rsidRPr="00957B06">
              <w:rPr>
                <w:rFonts w:cs="Calibri"/>
                <w:color w:val="000000"/>
                <w:spacing w:val="-2"/>
              </w:rPr>
              <w:t xml:space="preserve">PB </w:t>
            </w:r>
            <w:r w:rsidRPr="00957B06">
              <w:rPr>
                <w:rFonts w:cs="Calibri"/>
                <w:color w:val="000000"/>
                <w:spacing w:val="-2"/>
              </w:rPr>
              <w:t>wskazano na</w:t>
            </w:r>
            <w:r w:rsidR="008D3016" w:rsidRPr="00957B06">
              <w:rPr>
                <w:rFonts w:cs="Calibri"/>
                <w:color w:val="000000"/>
                <w:spacing w:val="-2"/>
              </w:rPr>
              <w:t xml:space="preserve">: </w:t>
            </w:r>
          </w:p>
          <w:p w14:paraId="7B8DA25C" w14:textId="34DD647B" w:rsidR="008D3016" w:rsidRPr="00957B06" w:rsidRDefault="008D3016" w:rsidP="0022730B">
            <w:pPr>
              <w:pStyle w:val="TableParagraph"/>
              <w:ind w:right="101"/>
              <w:rPr>
                <w:rFonts w:cs="Calibri"/>
                <w:color w:val="000000"/>
                <w:spacing w:val="-2"/>
              </w:rPr>
            </w:pPr>
            <w:r w:rsidRPr="00957B06">
              <w:rPr>
                <w:rFonts w:cs="Calibri"/>
                <w:color w:val="000000"/>
                <w:spacing w:val="-2"/>
              </w:rPr>
              <w:t xml:space="preserve">*art. 7 ust 4 - </w:t>
            </w:r>
            <w:r w:rsidR="00AB54A4" w:rsidRPr="00957B06">
              <w:rPr>
                <w:rFonts w:cs="Calibri"/>
                <w:color w:val="000000"/>
                <w:spacing w:val="-2"/>
              </w:rPr>
              <w:t xml:space="preserve">konieczność wydania WT wydanych przez właściwych  ministrów z uwzględnieniem potrzeb osób ze szczególnymi potrzebami co koresponduje </w:t>
            </w:r>
            <w:r w:rsidRPr="00957B06">
              <w:rPr>
                <w:rFonts w:cs="Calibri"/>
                <w:color w:val="000000"/>
                <w:spacing w:val="-2"/>
              </w:rPr>
              <w:t xml:space="preserve"> z </w:t>
            </w:r>
            <w:r w:rsidR="00AB54A4" w:rsidRPr="00957B06">
              <w:rPr>
                <w:rFonts w:cs="Calibri"/>
                <w:color w:val="000000"/>
                <w:spacing w:val="-2"/>
              </w:rPr>
              <w:t xml:space="preserve">art. 66 UZD. Trzeba </w:t>
            </w:r>
            <w:r w:rsidR="00AB54A4" w:rsidRPr="00957B06">
              <w:rPr>
                <w:rFonts w:cs="Calibri"/>
                <w:color w:val="000000"/>
                <w:spacing w:val="-2"/>
              </w:rPr>
              <w:lastRenderedPageBreak/>
              <w:t xml:space="preserve">jednak zaznaczyć że termin na wdrożenie  nowych WT został zmieniony w stosunku do pierwotnych  założeń UZD </w:t>
            </w:r>
            <w:r w:rsidR="00D2104F" w:rsidRPr="00957B06">
              <w:rPr>
                <w:rFonts w:cs="Calibri"/>
                <w:color w:val="000000"/>
                <w:spacing w:val="-2"/>
              </w:rPr>
              <w:t xml:space="preserve">- zmiany miały  być dokonane w ciągu 36  miesięcy od wejścia w życie  ustaw, jednak w wyniku zmian UZD w 2022 </w:t>
            </w:r>
            <w:r w:rsidRPr="00957B06">
              <w:rPr>
                <w:rFonts w:cs="Calibri"/>
                <w:color w:val="000000"/>
                <w:spacing w:val="-2"/>
              </w:rPr>
              <w:t>i 2024 r. termin ten został przesunięty na wrzesień 2026 r. Opóźnia to znacząco proces ważnych dla dostępności zmian w architekturze zwłaszcza wielorodzinnej</w:t>
            </w:r>
            <w:r w:rsidRPr="00467BD3">
              <w:rPr>
                <w:rFonts w:cs="Calibri"/>
                <w:color w:val="000000"/>
                <w:spacing w:val="-2"/>
              </w:rPr>
              <w:t xml:space="preserve">  </w:t>
            </w:r>
          </w:p>
          <w:p w14:paraId="097F8299" w14:textId="799B4CE8" w:rsidR="0026008F" w:rsidRPr="00957B06" w:rsidRDefault="009A4B27" w:rsidP="0022730B">
            <w:pPr>
              <w:pStyle w:val="TableParagraph"/>
              <w:ind w:right="101"/>
              <w:rPr>
                <w:rFonts w:cs="Calibri"/>
                <w:color w:val="000000"/>
                <w:spacing w:val="-2"/>
              </w:rPr>
            </w:pPr>
            <w:r w:rsidRPr="00957B06">
              <w:rPr>
                <w:rFonts w:cs="Calibri"/>
                <w:color w:val="000000"/>
                <w:spacing w:val="-2"/>
              </w:rPr>
              <w:t>*a</w:t>
            </w:r>
            <w:r w:rsidR="008D3016" w:rsidRPr="00957B06">
              <w:rPr>
                <w:rFonts w:cs="Calibri"/>
                <w:color w:val="000000"/>
                <w:spacing w:val="-2"/>
              </w:rPr>
              <w:t xml:space="preserve">rt. </w:t>
            </w:r>
            <w:r w:rsidRPr="00957B06">
              <w:rPr>
                <w:rFonts w:cs="Calibri"/>
                <w:color w:val="000000"/>
                <w:spacing w:val="-2"/>
              </w:rPr>
              <w:t>9 ust 1</w:t>
            </w:r>
            <w:r w:rsidR="008D3016" w:rsidRPr="00957B06">
              <w:rPr>
                <w:rFonts w:cs="Calibri"/>
                <w:color w:val="000000"/>
                <w:spacing w:val="-2"/>
              </w:rPr>
              <w:t xml:space="preserve"> </w:t>
            </w:r>
            <w:r w:rsidRPr="00957B06">
              <w:rPr>
                <w:rFonts w:cs="Calibri"/>
                <w:color w:val="000000"/>
                <w:spacing w:val="-2"/>
              </w:rPr>
              <w:t xml:space="preserve"> - zabrania stosowania odstępstw w stosowaniu WT  które  miałyby negatywny wpływ na użytkownie obiektów użyteczności publicznej i mieszkaniowego budownictwa wielorodzinnego przez osoby ze szczególnymi potrzebami </w:t>
            </w:r>
            <w:r w:rsidR="008D3016" w:rsidRPr="00957B06">
              <w:rPr>
                <w:rFonts w:cs="Calibri"/>
                <w:color w:val="000000"/>
                <w:spacing w:val="-2"/>
              </w:rPr>
              <w:t xml:space="preserve">  </w:t>
            </w:r>
            <w:r w:rsidR="00D2104F" w:rsidRPr="00957B06">
              <w:rPr>
                <w:rFonts w:cs="Calibri"/>
                <w:color w:val="000000"/>
                <w:spacing w:val="-2"/>
              </w:rPr>
              <w:t xml:space="preserve">   </w:t>
            </w:r>
            <w:r w:rsidR="00A855E4" w:rsidRPr="00957B06">
              <w:rPr>
                <w:rFonts w:cs="Calibri"/>
                <w:color w:val="000000"/>
                <w:spacing w:val="-2"/>
              </w:rPr>
              <w:t xml:space="preserve"> </w:t>
            </w:r>
          </w:p>
          <w:p w14:paraId="5A104813" w14:textId="6409E445" w:rsidR="009A4B27" w:rsidRPr="00957B06" w:rsidRDefault="009A4B27" w:rsidP="009A4B27">
            <w:pPr>
              <w:pStyle w:val="TableParagraph"/>
              <w:ind w:right="101"/>
              <w:rPr>
                <w:rFonts w:cs="Calibri"/>
                <w:color w:val="000000"/>
                <w:spacing w:val="-2"/>
              </w:rPr>
            </w:pPr>
            <w:r w:rsidRPr="00957B06">
              <w:rPr>
                <w:rFonts w:cs="Calibri"/>
                <w:color w:val="000000"/>
                <w:spacing w:val="-2"/>
              </w:rPr>
              <w:t>*art. 34 ust 2 – nakazuje określenie w  zakresie i treści projektu budowalnego  niezbędnych warunków do korzystania</w:t>
            </w:r>
          </w:p>
          <w:p w14:paraId="55E24A9A" w14:textId="522BB70C" w:rsidR="009A4B27" w:rsidRPr="00957B06" w:rsidRDefault="009A4B27" w:rsidP="009A4B27">
            <w:pPr>
              <w:pStyle w:val="TableParagraph"/>
              <w:ind w:right="101"/>
              <w:rPr>
                <w:rFonts w:cs="Calibri"/>
                <w:color w:val="000000"/>
                <w:spacing w:val="-2"/>
              </w:rPr>
            </w:pPr>
            <w:r w:rsidRPr="00957B06">
              <w:rPr>
                <w:rFonts w:cs="Calibri"/>
                <w:color w:val="000000"/>
                <w:spacing w:val="-2"/>
              </w:rPr>
              <w:t xml:space="preserve">z obiektu przez osoby ze szczególnymi potrzebami. Trzeba zaznaczyć iż mimo formalnego wprowadzenia takiego obowiązku nie ma mechanizmów odpowiedniej  weryfikacji jego spełniania . tym samy opis w tym zakresie może być zdawkowy , niekonkretny  a mimo to projekt może zostać przyjęty.  </w:t>
            </w:r>
          </w:p>
          <w:p w14:paraId="55442C43" w14:textId="759293C2" w:rsidR="0022730B" w:rsidRPr="00957B06" w:rsidRDefault="0022730B" w:rsidP="0022730B">
            <w:pPr>
              <w:pStyle w:val="TableParagraph"/>
              <w:ind w:right="101"/>
              <w:jc w:val="both"/>
              <w:rPr>
                <w:rFonts w:cs="Calibri"/>
                <w:color w:val="000000"/>
                <w:spacing w:val="-2"/>
              </w:rPr>
            </w:pPr>
            <w:r w:rsidRPr="00957B06">
              <w:rPr>
                <w:rFonts w:cs="Calibri"/>
                <w:color w:val="000000"/>
                <w:spacing w:val="-2"/>
              </w:rPr>
              <w:t>(4)</w:t>
            </w:r>
          </w:p>
          <w:p w14:paraId="0AE1C3BB" w14:textId="77777777" w:rsidR="00844260" w:rsidRPr="00957B06" w:rsidRDefault="007F2F73" w:rsidP="00844260">
            <w:pPr>
              <w:pStyle w:val="Tekstkomentarza"/>
              <w:rPr>
                <w:rFonts w:cs="Calibri"/>
                <w:color w:val="000000"/>
                <w:spacing w:val="-2"/>
                <w:sz w:val="22"/>
                <w:szCs w:val="22"/>
              </w:rPr>
            </w:pPr>
            <w:r w:rsidRPr="00957B06">
              <w:rPr>
                <w:rFonts w:cs="Calibri"/>
                <w:color w:val="000000"/>
                <w:spacing w:val="-2"/>
                <w:sz w:val="22"/>
                <w:szCs w:val="22"/>
              </w:rPr>
              <w:t xml:space="preserve">Przepisami </w:t>
            </w:r>
            <w:r w:rsidR="008D6C11" w:rsidRPr="00957B06">
              <w:rPr>
                <w:rFonts w:cs="Calibri"/>
                <w:color w:val="000000"/>
                <w:spacing w:val="-2"/>
                <w:sz w:val="22"/>
                <w:szCs w:val="22"/>
              </w:rPr>
              <w:t xml:space="preserve">ustawy wprowadzono </w:t>
            </w:r>
            <w:r w:rsidR="00B42717" w:rsidRPr="00957B06">
              <w:rPr>
                <w:rFonts w:cs="Calibri"/>
                <w:color w:val="000000"/>
                <w:spacing w:val="-2"/>
                <w:sz w:val="22"/>
                <w:szCs w:val="22"/>
              </w:rPr>
              <w:t xml:space="preserve">mechanizm zachęty dla przedsiębiorców i organizacje pozarządowe dotyczące </w:t>
            </w:r>
            <w:r w:rsidR="00E42366" w:rsidRPr="00957B06">
              <w:rPr>
                <w:rFonts w:cs="Calibri"/>
                <w:color w:val="000000"/>
                <w:spacing w:val="-2"/>
                <w:sz w:val="22"/>
                <w:szCs w:val="22"/>
              </w:rPr>
              <w:t xml:space="preserve">certyfikacji dostępności. </w:t>
            </w:r>
            <w:r w:rsidR="009A4B27" w:rsidRPr="00957B06">
              <w:rPr>
                <w:rFonts w:cs="Calibri"/>
                <w:color w:val="000000"/>
                <w:spacing w:val="-2"/>
                <w:sz w:val="22"/>
                <w:szCs w:val="22"/>
              </w:rPr>
              <w:t xml:space="preserve">W 2021 r. przeprowadzono pierwszy nabór podmiotów </w:t>
            </w:r>
            <w:r w:rsidR="00B51250" w:rsidRPr="00957B06">
              <w:rPr>
                <w:rFonts w:cs="Calibri"/>
                <w:color w:val="000000"/>
                <w:spacing w:val="-2"/>
                <w:sz w:val="22"/>
                <w:szCs w:val="22"/>
              </w:rPr>
              <w:t xml:space="preserve">dokonujących </w:t>
            </w:r>
            <w:r w:rsidR="009A4B27" w:rsidRPr="00957B06">
              <w:rPr>
                <w:rFonts w:cs="Calibri"/>
                <w:color w:val="000000"/>
                <w:spacing w:val="-2"/>
                <w:sz w:val="22"/>
                <w:szCs w:val="22"/>
              </w:rPr>
              <w:t>certyfik</w:t>
            </w:r>
            <w:r w:rsidR="00B51250" w:rsidRPr="00957B06">
              <w:rPr>
                <w:rFonts w:cs="Calibri"/>
                <w:color w:val="000000"/>
                <w:spacing w:val="-2"/>
                <w:sz w:val="22"/>
                <w:szCs w:val="22"/>
              </w:rPr>
              <w:t>acji i u</w:t>
            </w:r>
            <w:r w:rsidR="00E42366" w:rsidRPr="00957B06">
              <w:rPr>
                <w:rFonts w:cs="Calibri"/>
                <w:color w:val="000000"/>
                <w:spacing w:val="-2"/>
                <w:sz w:val="22"/>
                <w:szCs w:val="22"/>
              </w:rPr>
              <w:t xml:space="preserve">tworzono </w:t>
            </w:r>
            <w:r w:rsidR="009A4B27" w:rsidRPr="00957B06">
              <w:rPr>
                <w:rFonts w:cs="Calibri"/>
                <w:color w:val="000000"/>
                <w:spacing w:val="-2"/>
                <w:sz w:val="22"/>
                <w:szCs w:val="22"/>
              </w:rPr>
              <w:t>wykaz</w:t>
            </w:r>
            <w:r w:rsidR="00E42366" w:rsidRPr="00957B06">
              <w:rPr>
                <w:rFonts w:cs="Calibri"/>
                <w:color w:val="000000"/>
                <w:spacing w:val="-2"/>
                <w:sz w:val="22"/>
                <w:szCs w:val="22"/>
              </w:rPr>
              <w:t xml:space="preserve"> </w:t>
            </w:r>
            <w:r w:rsidR="009A4B27" w:rsidRPr="00957B06">
              <w:rPr>
                <w:rFonts w:cs="Calibri"/>
                <w:color w:val="000000"/>
                <w:spacing w:val="-2"/>
                <w:sz w:val="22"/>
                <w:szCs w:val="22"/>
              </w:rPr>
              <w:t>3</w:t>
            </w:r>
            <w:r w:rsidR="00E42366" w:rsidRPr="00957B06">
              <w:rPr>
                <w:rFonts w:cs="Calibri"/>
                <w:color w:val="000000"/>
                <w:spacing w:val="-2"/>
                <w:sz w:val="22"/>
                <w:szCs w:val="22"/>
              </w:rPr>
              <w:t>0</w:t>
            </w:r>
            <w:r w:rsidR="00B51250" w:rsidRPr="00957B06">
              <w:rPr>
                <w:rFonts w:cs="Calibri"/>
                <w:color w:val="000000"/>
                <w:spacing w:val="-2"/>
                <w:sz w:val="22"/>
                <w:szCs w:val="22"/>
              </w:rPr>
              <w:t xml:space="preserve"> takich podmiotów </w:t>
            </w:r>
            <w:r w:rsidR="009A4B27" w:rsidRPr="00957B06">
              <w:rPr>
                <w:rFonts w:cs="Calibri"/>
                <w:color w:val="000000"/>
                <w:spacing w:val="-2"/>
                <w:sz w:val="22"/>
                <w:szCs w:val="22"/>
              </w:rPr>
              <w:t>(</w:t>
            </w:r>
            <w:r w:rsidR="00B51250" w:rsidRPr="00957B06">
              <w:rPr>
                <w:rFonts w:cs="Calibri"/>
                <w:color w:val="000000"/>
                <w:spacing w:val="-2"/>
                <w:sz w:val="22"/>
                <w:szCs w:val="22"/>
              </w:rPr>
              <w:t xml:space="preserve">obecnie jest ich </w:t>
            </w:r>
            <w:r w:rsidR="009A4B27" w:rsidRPr="00957B06">
              <w:rPr>
                <w:rFonts w:cs="Calibri"/>
                <w:color w:val="000000"/>
                <w:spacing w:val="-2"/>
                <w:sz w:val="22"/>
                <w:szCs w:val="22"/>
              </w:rPr>
              <w:t>29)</w:t>
            </w:r>
            <w:r w:rsidR="00E42366" w:rsidRPr="00957B06">
              <w:rPr>
                <w:rFonts w:cs="Calibri"/>
                <w:color w:val="000000"/>
                <w:spacing w:val="-2"/>
                <w:sz w:val="22"/>
                <w:szCs w:val="22"/>
              </w:rPr>
              <w:t>,</w:t>
            </w:r>
            <w:r w:rsidR="00AD7771" w:rsidRPr="00957B06">
              <w:rPr>
                <w:rFonts w:cs="Calibri"/>
                <w:color w:val="000000"/>
                <w:spacing w:val="-2"/>
                <w:sz w:val="22"/>
                <w:szCs w:val="22"/>
              </w:rPr>
              <w:t xml:space="preserve"> </w:t>
            </w:r>
            <w:r w:rsidR="009A4B27" w:rsidRPr="00957B06">
              <w:rPr>
                <w:rFonts w:cs="Calibri"/>
                <w:color w:val="000000"/>
                <w:spacing w:val="-2"/>
                <w:sz w:val="22"/>
                <w:szCs w:val="22"/>
              </w:rPr>
              <w:t xml:space="preserve">opublikowany </w:t>
            </w:r>
            <w:r w:rsidR="00E42366" w:rsidRPr="00957B06">
              <w:rPr>
                <w:rFonts w:cs="Calibri"/>
                <w:color w:val="000000"/>
                <w:spacing w:val="-2"/>
                <w:sz w:val="22"/>
                <w:szCs w:val="22"/>
              </w:rPr>
              <w:t xml:space="preserve"> internetowej</w:t>
            </w:r>
            <w:r w:rsidR="009A4B27" w:rsidRPr="00957B06">
              <w:rPr>
                <w:rFonts w:cs="Calibri"/>
                <w:color w:val="000000"/>
                <w:spacing w:val="-2"/>
                <w:sz w:val="22"/>
                <w:szCs w:val="22"/>
              </w:rPr>
              <w:t xml:space="preserve"> MFIPR</w:t>
            </w:r>
            <w:r w:rsidR="00B51250" w:rsidRPr="00957B06">
              <w:rPr>
                <w:rFonts w:cs="Calibri"/>
                <w:color w:val="000000"/>
                <w:spacing w:val="-2"/>
                <w:sz w:val="22"/>
                <w:szCs w:val="22"/>
              </w:rPr>
              <w:t xml:space="preserve"> (</w:t>
            </w:r>
            <w:hyperlink r:id="rId15" w:history="1">
              <w:r w:rsidR="00B51250" w:rsidRPr="00957B06">
                <w:rPr>
                  <w:color w:val="000000"/>
                  <w:sz w:val="22"/>
                  <w:szCs w:val="22"/>
                </w:rPr>
                <w:t>link do strony z wykazem</w:t>
              </w:r>
            </w:hyperlink>
            <w:r w:rsidR="00B51250" w:rsidRPr="00467BD3">
              <w:rPr>
                <w:rFonts w:cs="Calibri"/>
                <w:color w:val="000000"/>
                <w:spacing w:val="-2"/>
                <w:sz w:val="22"/>
                <w:szCs w:val="22"/>
              </w:rPr>
              <w:t>)</w:t>
            </w:r>
            <w:r w:rsidR="00E42366" w:rsidRPr="00957B06">
              <w:rPr>
                <w:rFonts w:cs="Calibri"/>
                <w:color w:val="000000"/>
                <w:spacing w:val="-2"/>
                <w:sz w:val="22"/>
                <w:szCs w:val="22"/>
              </w:rPr>
              <w:t xml:space="preserve">. Od uruchomienia mechanizmu certyfikacji wydano </w:t>
            </w:r>
            <w:r w:rsidR="00895546" w:rsidRPr="00957B06">
              <w:rPr>
                <w:rFonts w:cs="Calibri"/>
                <w:color w:val="000000"/>
                <w:spacing w:val="-2"/>
                <w:sz w:val="22"/>
                <w:szCs w:val="22"/>
              </w:rPr>
              <w:t>2</w:t>
            </w:r>
            <w:r w:rsidR="00651250" w:rsidRPr="00957B06">
              <w:rPr>
                <w:rFonts w:cs="Calibri"/>
                <w:color w:val="000000"/>
                <w:spacing w:val="-2"/>
                <w:sz w:val="22"/>
                <w:szCs w:val="22"/>
              </w:rPr>
              <w:t>9</w:t>
            </w:r>
            <w:r w:rsidR="00895546" w:rsidRPr="00957B06">
              <w:rPr>
                <w:rFonts w:cs="Calibri"/>
                <w:color w:val="000000"/>
                <w:spacing w:val="-2"/>
                <w:sz w:val="22"/>
                <w:szCs w:val="22"/>
              </w:rPr>
              <w:t xml:space="preserve"> certyfikatów – ich  lista zgodne z wymaganiem  art.  28 UZD jest publikowana na stronie MFIPR (</w:t>
            </w:r>
            <w:hyperlink r:id="rId16" w:history="1">
              <w:r w:rsidR="00895546" w:rsidRPr="00957B06">
                <w:rPr>
                  <w:color w:val="000000"/>
                  <w:sz w:val="22"/>
                  <w:szCs w:val="22"/>
                </w:rPr>
                <w:t>link do strony z listą certyfikatów</w:t>
              </w:r>
            </w:hyperlink>
            <w:r w:rsidR="00895546" w:rsidRPr="00467BD3">
              <w:rPr>
                <w:rFonts w:cs="Calibri"/>
                <w:color w:val="000000"/>
                <w:spacing w:val="-2"/>
                <w:sz w:val="22"/>
                <w:szCs w:val="22"/>
              </w:rPr>
              <w:t>)</w:t>
            </w:r>
            <w:r w:rsidR="00E42366" w:rsidRPr="00957B06">
              <w:rPr>
                <w:rFonts w:cs="Calibri"/>
                <w:color w:val="000000"/>
                <w:spacing w:val="-2"/>
                <w:sz w:val="22"/>
                <w:szCs w:val="22"/>
              </w:rPr>
              <w:t xml:space="preserve">. </w:t>
            </w:r>
            <w:r w:rsidR="008D6C11" w:rsidRPr="00957B06">
              <w:rPr>
                <w:rFonts w:cs="Calibri"/>
                <w:color w:val="000000"/>
                <w:spacing w:val="-2"/>
                <w:sz w:val="22"/>
                <w:szCs w:val="22"/>
              </w:rPr>
              <w:t xml:space="preserve">Pomimo notowanego krokowego wzrostu liczby wydanych certyfikatów należy uznać skuteczność tego mechanizmu jako niezadowalającą. </w:t>
            </w:r>
            <w:r w:rsidR="00844260" w:rsidRPr="00957B06">
              <w:rPr>
                <w:rFonts w:cs="Calibri"/>
                <w:color w:val="000000"/>
                <w:spacing w:val="-2"/>
                <w:sz w:val="22"/>
                <w:szCs w:val="22"/>
              </w:rPr>
              <w:t xml:space="preserve">Zainteresowanie uzyskaniem certyfikatu dostępności pozostaje niewielkie w stosunku do oczekiwań określonych w OSR. </w:t>
            </w:r>
          </w:p>
          <w:p w14:paraId="2B33E502" w14:textId="31BDA37B" w:rsidR="00B42717" w:rsidRPr="00957B06" w:rsidRDefault="0022730B" w:rsidP="0054124A">
            <w:pPr>
              <w:pStyle w:val="TableParagraph"/>
              <w:ind w:left="0" w:right="101"/>
              <w:jc w:val="both"/>
              <w:rPr>
                <w:rFonts w:cs="Calibri"/>
                <w:color w:val="000000"/>
                <w:spacing w:val="-2"/>
              </w:rPr>
            </w:pPr>
            <w:r w:rsidRPr="00957B06">
              <w:rPr>
                <w:rFonts w:cs="Calibri"/>
                <w:color w:val="000000"/>
                <w:spacing w:val="-2"/>
              </w:rPr>
              <w:t>Głównym powodem jest brak realnych zachęt wynikających z tego procesu.</w:t>
            </w:r>
            <w:r w:rsidR="00895546" w:rsidRPr="00957B06">
              <w:rPr>
                <w:rFonts w:cs="Calibri"/>
                <w:color w:val="000000"/>
                <w:spacing w:val="-2"/>
              </w:rPr>
              <w:t xml:space="preserve"> Jak wspomniano już powyżej sam proces certyfikacji został uregulowany w ustawie w taki sposób</w:t>
            </w:r>
            <w:r w:rsidR="00421E33" w:rsidRPr="00957B06">
              <w:rPr>
                <w:rFonts w:cs="Calibri"/>
                <w:color w:val="000000"/>
                <w:spacing w:val="-2"/>
              </w:rPr>
              <w:t>,</w:t>
            </w:r>
            <w:r w:rsidR="00895546" w:rsidRPr="00957B06">
              <w:rPr>
                <w:rFonts w:cs="Calibri"/>
                <w:color w:val="000000"/>
                <w:spacing w:val="-2"/>
              </w:rPr>
              <w:t xml:space="preserve"> iż jest on w wielu aspektach  trudny dla podmiotów z wykazu </w:t>
            </w:r>
            <w:r w:rsidR="007F2F73" w:rsidRPr="00957B06">
              <w:rPr>
                <w:rFonts w:cs="Calibri"/>
                <w:color w:val="000000"/>
                <w:spacing w:val="-2"/>
              </w:rPr>
              <w:t>(głównym problemem jest sposób ustalania stawek za realizację audytu powiązany z liczbą audytowanych obiektów i bez opcji audytu na próbie</w:t>
            </w:r>
            <w:r w:rsidR="00421E33" w:rsidRPr="00957B06">
              <w:rPr>
                <w:rFonts w:cs="Calibri"/>
                <w:color w:val="000000"/>
                <w:spacing w:val="-2"/>
              </w:rPr>
              <w:t>,</w:t>
            </w:r>
            <w:r w:rsidR="007F2F73" w:rsidRPr="00957B06">
              <w:rPr>
                <w:rFonts w:cs="Calibri"/>
                <w:color w:val="000000"/>
                <w:spacing w:val="-2"/>
              </w:rPr>
              <w:t xml:space="preserve">  krótki termin na realizację audytu niezależnie od liczby audytowanych budynków). Dodatkowo przepisy Rozdziału  3 w wielu miejscach są mało precyzyjne  i powinny być zmodyfikowane.  </w:t>
            </w:r>
          </w:p>
          <w:p w14:paraId="1EF1C715" w14:textId="06737D71" w:rsidR="0022730B" w:rsidRPr="00957B06" w:rsidRDefault="0022730B" w:rsidP="0022730B">
            <w:pPr>
              <w:pStyle w:val="TableParagraph"/>
              <w:ind w:right="101"/>
              <w:jc w:val="both"/>
              <w:rPr>
                <w:rFonts w:cs="Calibri"/>
                <w:color w:val="000000"/>
                <w:spacing w:val="-2"/>
              </w:rPr>
            </w:pPr>
            <w:r w:rsidRPr="00957B06">
              <w:rPr>
                <w:rFonts w:cs="Calibri"/>
                <w:color w:val="000000"/>
                <w:spacing w:val="-2"/>
              </w:rPr>
              <w:t>(5)</w:t>
            </w:r>
          </w:p>
          <w:p w14:paraId="5A12F3E7" w14:textId="700AC7F7" w:rsidR="009445A3" w:rsidRPr="00957B06" w:rsidRDefault="007F2F73" w:rsidP="0054124A">
            <w:pPr>
              <w:pStyle w:val="TableParagraph"/>
              <w:ind w:left="0" w:right="101"/>
              <w:jc w:val="both"/>
              <w:rPr>
                <w:rFonts w:cs="Calibri"/>
                <w:color w:val="000000"/>
                <w:spacing w:val="-2"/>
              </w:rPr>
            </w:pPr>
            <w:r w:rsidRPr="00957B06">
              <w:rPr>
                <w:rFonts w:cs="Calibri"/>
                <w:color w:val="000000"/>
                <w:spacing w:val="-2"/>
              </w:rPr>
              <w:t xml:space="preserve">Elastyczność </w:t>
            </w:r>
            <w:r w:rsidR="009445A3" w:rsidRPr="00957B06">
              <w:rPr>
                <w:rFonts w:cs="Calibri"/>
                <w:color w:val="000000"/>
                <w:spacing w:val="-2"/>
              </w:rPr>
              <w:t xml:space="preserve">stosowania przepisów ustawy zwłaszcza art. 6  ma zarówno swoich przeciwników jak i zwolenników po stronie podmiotów zobowiązanych jak i osób ze szczególnymi potrzebami. Powołane badanie ewaluacyjne dot. skuteczności przepisów UZD wskazało na zasadność  wprowadzenia przepisów szczegółowych ( rozporządzeń lub co najmniej wytycznych) które pokazywałby jak w prawidłowy sposób stosować przepisy ustawy. Zdaniem </w:t>
            </w:r>
            <w:proofErr w:type="spellStart"/>
            <w:r w:rsidR="00467BD3" w:rsidRPr="00957B06">
              <w:rPr>
                <w:rFonts w:cs="Calibri"/>
                <w:color w:val="000000"/>
                <w:spacing w:val="-2"/>
              </w:rPr>
              <w:t>ewaluatora</w:t>
            </w:r>
            <w:proofErr w:type="spellEnd"/>
            <w:r w:rsidR="00467BD3" w:rsidRPr="00957B06">
              <w:rPr>
                <w:rFonts w:cs="Calibri"/>
                <w:color w:val="000000"/>
                <w:spacing w:val="-2"/>
              </w:rPr>
              <w:t xml:space="preserve">, </w:t>
            </w:r>
            <w:r w:rsidR="009445A3" w:rsidRPr="00957B06">
              <w:rPr>
                <w:rFonts w:cs="Calibri"/>
                <w:color w:val="000000"/>
                <w:spacing w:val="-2"/>
              </w:rPr>
              <w:t xml:space="preserve">część podmiotów z uwagi na brak wiedzy  lub ze względów ekonomicznych wybiera rozwiązania które nie są optymalne z punktu widzenia osób ze szczególnymi potrzebami (np.  </w:t>
            </w:r>
            <w:proofErr w:type="spellStart"/>
            <w:r w:rsidR="009445A3" w:rsidRPr="00957B06">
              <w:rPr>
                <w:rFonts w:cs="Calibri"/>
                <w:color w:val="000000"/>
                <w:spacing w:val="-2"/>
              </w:rPr>
              <w:t>schodołaz</w:t>
            </w:r>
            <w:proofErr w:type="spellEnd"/>
            <w:r w:rsidR="009445A3" w:rsidRPr="00957B06">
              <w:rPr>
                <w:rFonts w:cs="Calibri"/>
                <w:color w:val="000000"/>
                <w:spacing w:val="-2"/>
              </w:rPr>
              <w:t>)</w:t>
            </w:r>
            <w:r w:rsidR="00421E33" w:rsidRPr="00957B06">
              <w:rPr>
                <w:rFonts w:cs="Calibri"/>
                <w:color w:val="000000"/>
                <w:spacing w:val="-2"/>
              </w:rPr>
              <w:t>.</w:t>
            </w:r>
            <w:r w:rsidR="009445A3" w:rsidRPr="00957B06">
              <w:rPr>
                <w:rFonts w:cs="Calibri"/>
                <w:color w:val="000000"/>
                <w:spacing w:val="-2"/>
              </w:rPr>
              <w:t xml:space="preserve"> </w:t>
            </w:r>
          </w:p>
          <w:p w14:paraId="1354931A" w14:textId="1C6B9127" w:rsidR="009D6170" w:rsidRPr="00957B06" w:rsidRDefault="009445A3" w:rsidP="0054124A">
            <w:pPr>
              <w:pStyle w:val="TableParagraph"/>
              <w:ind w:left="0" w:right="101"/>
              <w:jc w:val="both"/>
              <w:rPr>
                <w:rFonts w:cs="Calibri"/>
                <w:color w:val="000000"/>
                <w:spacing w:val="-2"/>
              </w:rPr>
            </w:pPr>
            <w:r w:rsidRPr="00957B06">
              <w:rPr>
                <w:rFonts w:cs="Calibri"/>
                <w:color w:val="000000"/>
                <w:spacing w:val="-2"/>
              </w:rPr>
              <w:t>Faktem jest</w:t>
            </w:r>
            <w:r w:rsidR="0054124A" w:rsidRPr="00957B06">
              <w:rPr>
                <w:rFonts w:cs="Calibri"/>
                <w:color w:val="000000"/>
                <w:spacing w:val="-2"/>
              </w:rPr>
              <w:t>,</w:t>
            </w:r>
            <w:r w:rsidRPr="00957B06">
              <w:rPr>
                <w:rFonts w:cs="Calibri"/>
                <w:color w:val="000000"/>
                <w:spacing w:val="-2"/>
              </w:rPr>
              <w:t xml:space="preserve"> iż szczególnie w pierwszej fazie wdrażania ustawy (2019 – 2021) </w:t>
            </w:r>
            <w:r w:rsidR="008D6C11" w:rsidRPr="00957B06">
              <w:rPr>
                <w:rFonts w:cs="Calibri"/>
                <w:color w:val="000000"/>
                <w:spacing w:val="-2"/>
              </w:rPr>
              <w:t>skala zapytań o interpretacje przepisów</w:t>
            </w:r>
            <w:r w:rsidRPr="00957B06">
              <w:rPr>
                <w:rFonts w:cs="Calibri"/>
                <w:color w:val="000000"/>
                <w:spacing w:val="-2"/>
              </w:rPr>
              <w:t xml:space="preserve"> art. 6</w:t>
            </w:r>
            <w:r w:rsidR="00726FF3" w:rsidRPr="00957B06">
              <w:rPr>
                <w:rFonts w:cs="Calibri"/>
                <w:color w:val="000000"/>
                <w:spacing w:val="-2"/>
              </w:rPr>
              <w:t xml:space="preserve"> ( minimalne wymagania dostępności) </w:t>
            </w:r>
            <w:r w:rsidRPr="00957B06">
              <w:rPr>
                <w:rFonts w:cs="Calibri"/>
                <w:color w:val="000000"/>
                <w:spacing w:val="-2"/>
              </w:rPr>
              <w:t xml:space="preserve">i 7 </w:t>
            </w:r>
            <w:r w:rsidR="009D6170" w:rsidRPr="00957B06">
              <w:rPr>
                <w:rFonts w:cs="Calibri"/>
                <w:color w:val="000000"/>
                <w:spacing w:val="-2"/>
              </w:rPr>
              <w:t>(</w:t>
            </w:r>
            <w:r w:rsidR="008D6C11" w:rsidRPr="00957B06">
              <w:rPr>
                <w:rFonts w:cs="Calibri"/>
                <w:color w:val="000000"/>
                <w:spacing w:val="-2"/>
              </w:rPr>
              <w:t>możliwość stosowania rozwiązań alternatywnych zapewniających</w:t>
            </w:r>
            <w:r w:rsidR="00D34D1D" w:rsidRPr="00957B06">
              <w:rPr>
                <w:rFonts w:cs="Calibri"/>
                <w:color w:val="000000"/>
                <w:spacing w:val="-2"/>
              </w:rPr>
              <w:t xml:space="preserve"> </w:t>
            </w:r>
            <w:r w:rsidR="008D6C11" w:rsidRPr="00957B06">
              <w:rPr>
                <w:rFonts w:cs="Calibri"/>
                <w:color w:val="000000"/>
                <w:spacing w:val="-2"/>
              </w:rPr>
              <w:t>dostępność</w:t>
            </w:r>
            <w:r w:rsidR="009D6170" w:rsidRPr="00957B06">
              <w:rPr>
                <w:rFonts w:cs="Calibri"/>
                <w:color w:val="000000"/>
                <w:spacing w:val="-2"/>
              </w:rPr>
              <w:t>)</w:t>
            </w:r>
            <w:r w:rsidRPr="00957B06">
              <w:rPr>
                <w:rFonts w:cs="Calibri"/>
                <w:color w:val="000000"/>
                <w:spacing w:val="-2"/>
              </w:rPr>
              <w:t xml:space="preserve"> była duża</w:t>
            </w:r>
            <w:r w:rsidR="008D6C11" w:rsidRPr="00957B06">
              <w:rPr>
                <w:rFonts w:cs="Calibri"/>
                <w:color w:val="000000"/>
                <w:spacing w:val="-2"/>
              </w:rPr>
              <w:t xml:space="preserve">. </w:t>
            </w:r>
          </w:p>
          <w:p w14:paraId="446509FA" w14:textId="7C4356A4" w:rsidR="009D6170" w:rsidRPr="00957B06" w:rsidRDefault="009445A3" w:rsidP="0054124A">
            <w:pPr>
              <w:pStyle w:val="TableParagraph"/>
              <w:ind w:left="0" w:right="101"/>
              <w:jc w:val="both"/>
              <w:rPr>
                <w:rFonts w:cs="Calibri"/>
                <w:color w:val="000000"/>
                <w:spacing w:val="-2"/>
              </w:rPr>
            </w:pPr>
            <w:r w:rsidRPr="00957B06">
              <w:rPr>
                <w:rFonts w:cs="Calibri"/>
                <w:color w:val="000000"/>
                <w:spacing w:val="-2"/>
              </w:rPr>
              <w:t>Z uwagi na to p</w:t>
            </w:r>
            <w:r w:rsidR="008D6C11" w:rsidRPr="00957B06">
              <w:rPr>
                <w:rFonts w:cs="Calibri"/>
                <w:color w:val="000000"/>
                <w:spacing w:val="-2"/>
              </w:rPr>
              <w:t>owstało szereg podręczników, poradników i rekomendacji dla samorządów czy koordynatorów dostępności, jak również baza pytań i odpowiedzi na stronie</w:t>
            </w:r>
            <w:r w:rsidR="009D6170" w:rsidRPr="00957B06">
              <w:rPr>
                <w:rFonts w:cs="Calibri"/>
                <w:color w:val="000000"/>
                <w:spacing w:val="-2"/>
              </w:rPr>
              <w:t xml:space="preserve"> www</w:t>
            </w:r>
            <w:r w:rsidR="008D6C11" w:rsidRPr="00957B06">
              <w:rPr>
                <w:rFonts w:cs="Calibri"/>
                <w:color w:val="000000"/>
                <w:spacing w:val="-2"/>
              </w:rPr>
              <w:t xml:space="preserve"> koordynatora procesu</w:t>
            </w:r>
            <w:r w:rsidR="00BE2C09" w:rsidRPr="00957B06">
              <w:rPr>
                <w:rFonts w:cs="Calibri"/>
                <w:color w:val="000000"/>
                <w:spacing w:val="-2"/>
              </w:rPr>
              <w:t xml:space="preserve"> (</w:t>
            </w:r>
            <w:proofErr w:type="spellStart"/>
            <w:r w:rsidR="00BE2C09" w:rsidRPr="00957B06">
              <w:rPr>
                <w:rFonts w:cs="Calibri"/>
                <w:color w:val="000000"/>
                <w:spacing w:val="-2"/>
              </w:rPr>
              <w:t>MFiPR</w:t>
            </w:r>
            <w:proofErr w:type="spellEnd"/>
            <w:r w:rsidR="00BE2C09" w:rsidRPr="00957B06">
              <w:rPr>
                <w:rFonts w:cs="Calibri"/>
                <w:color w:val="000000"/>
                <w:spacing w:val="-2"/>
              </w:rPr>
              <w:t>)</w:t>
            </w:r>
            <w:r w:rsidR="009D6170" w:rsidRPr="00957B06">
              <w:rPr>
                <w:rFonts w:cs="Calibri"/>
                <w:color w:val="000000"/>
                <w:spacing w:val="-2"/>
              </w:rPr>
              <w:t xml:space="preserve"> (</w:t>
            </w:r>
            <w:hyperlink r:id="rId17" w:history="1">
              <w:r w:rsidR="009D6170" w:rsidRPr="00957B06">
                <w:rPr>
                  <w:rStyle w:val="Hipercze"/>
                  <w:rFonts w:cs="Calibri"/>
                  <w:spacing w:val="-2"/>
                </w:rPr>
                <w:t>link do strony www. dotyczącej tematyki UZD</w:t>
              </w:r>
            </w:hyperlink>
            <w:r w:rsidR="009D6170" w:rsidRPr="00467BD3">
              <w:rPr>
                <w:rFonts w:cs="Calibri"/>
                <w:color w:val="000000"/>
                <w:spacing w:val="-2"/>
              </w:rPr>
              <w:t xml:space="preserve">)  </w:t>
            </w:r>
            <w:r w:rsidR="00726FF3" w:rsidRPr="00957B06">
              <w:rPr>
                <w:rFonts w:cs="Calibri"/>
                <w:color w:val="000000"/>
                <w:spacing w:val="-2"/>
              </w:rPr>
              <w:t>P</w:t>
            </w:r>
            <w:r w:rsidR="00FF602F" w:rsidRPr="00957B06">
              <w:rPr>
                <w:rFonts w:cs="Calibri"/>
                <w:color w:val="000000"/>
                <w:spacing w:val="-2"/>
              </w:rPr>
              <w:t>ragmatyczn</w:t>
            </w:r>
            <w:r w:rsidR="009D6170" w:rsidRPr="00957B06">
              <w:rPr>
                <w:rFonts w:cs="Calibri"/>
                <w:color w:val="000000"/>
                <w:spacing w:val="-2"/>
              </w:rPr>
              <w:t xml:space="preserve">e podejście do </w:t>
            </w:r>
            <w:r w:rsidR="008D6C11" w:rsidRPr="00957B06">
              <w:rPr>
                <w:rFonts w:cs="Calibri"/>
                <w:color w:val="000000"/>
                <w:spacing w:val="-2"/>
              </w:rPr>
              <w:t xml:space="preserve">polityki </w:t>
            </w:r>
            <w:r w:rsidR="009D6170" w:rsidRPr="00957B06">
              <w:rPr>
                <w:rFonts w:cs="Calibri"/>
                <w:color w:val="000000"/>
                <w:spacing w:val="-2"/>
              </w:rPr>
              <w:t xml:space="preserve">wdrażania </w:t>
            </w:r>
            <w:r w:rsidR="008D6C11" w:rsidRPr="00957B06">
              <w:rPr>
                <w:rFonts w:cs="Calibri"/>
                <w:color w:val="000000"/>
                <w:spacing w:val="-2"/>
              </w:rPr>
              <w:t xml:space="preserve">dostępności, </w:t>
            </w:r>
            <w:r w:rsidR="00726FF3" w:rsidRPr="00957B06">
              <w:rPr>
                <w:rFonts w:cs="Calibri"/>
                <w:color w:val="000000"/>
                <w:spacing w:val="-2"/>
              </w:rPr>
              <w:t xml:space="preserve">ujęte </w:t>
            </w:r>
            <w:r w:rsidR="009D6170" w:rsidRPr="00957B06">
              <w:rPr>
                <w:rFonts w:cs="Calibri"/>
                <w:color w:val="000000"/>
                <w:spacing w:val="-2"/>
              </w:rPr>
              <w:t>w</w:t>
            </w:r>
            <w:r w:rsidR="00726FF3" w:rsidRPr="00957B06">
              <w:rPr>
                <w:rFonts w:cs="Calibri"/>
                <w:color w:val="000000"/>
                <w:spacing w:val="-2"/>
              </w:rPr>
              <w:t xml:space="preserve"> </w:t>
            </w:r>
            <w:r w:rsidR="009D6170" w:rsidRPr="00957B06">
              <w:rPr>
                <w:rFonts w:cs="Calibri"/>
                <w:color w:val="000000"/>
                <w:spacing w:val="-2"/>
              </w:rPr>
              <w:t xml:space="preserve">założeniach OSR UZD </w:t>
            </w:r>
            <w:r w:rsidR="00726FF3" w:rsidRPr="00957B06">
              <w:rPr>
                <w:rFonts w:cs="Calibri"/>
                <w:color w:val="000000"/>
                <w:spacing w:val="-2"/>
              </w:rPr>
              <w:t xml:space="preserve">dawało </w:t>
            </w:r>
            <w:r w:rsidR="008D6C11" w:rsidRPr="00957B06">
              <w:rPr>
                <w:rFonts w:cs="Calibri"/>
                <w:color w:val="000000"/>
                <w:spacing w:val="-2"/>
              </w:rPr>
              <w:t xml:space="preserve">akcept dla stosowania rozwiązań </w:t>
            </w:r>
            <w:r w:rsidR="008D6C11" w:rsidRPr="00957B06">
              <w:rPr>
                <w:rFonts w:cs="Calibri"/>
                <w:color w:val="000000"/>
                <w:spacing w:val="-2"/>
              </w:rPr>
              <w:lastRenderedPageBreak/>
              <w:t>alternatywnych</w:t>
            </w:r>
            <w:r w:rsidR="009D6170" w:rsidRPr="00957B06">
              <w:rPr>
                <w:rFonts w:cs="Calibri"/>
                <w:color w:val="000000"/>
                <w:spacing w:val="-2"/>
              </w:rPr>
              <w:t xml:space="preserve"> (zwłaszcza w okresie 24 miesięcy od wejścia w życie UZD   zgodnie z treścią art. 70 UZD) </w:t>
            </w:r>
            <w:r w:rsidR="00726FF3" w:rsidRPr="00957B06">
              <w:rPr>
                <w:rFonts w:cs="Calibri"/>
                <w:color w:val="000000"/>
                <w:spacing w:val="-2"/>
              </w:rPr>
              <w:t xml:space="preserve">oraz </w:t>
            </w:r>
            <w:r w:rsidR="009D6170" w:rsidRPr="00957B06">
              <w:rPr>
                <w:rFonts w:cs="Calibri"/>
                <w:color w:val="000000"/>
                <w:spacing w:val="-2"/>
              </w:rPr>
              <w:t xml:space="preserve">stosowania rozwiązań dostosowanych </w:t>
            </w:r>
            <w:r w:rsidR="008D6C11" w:rsidRPr="00957B06">
              <w:rPr>
                <w:rFonts w:cs="Calibri"/>
                <w:color w:val="000000"/>
                <w:spacing w:val="-2"/>
              </w:rPr>
              <w:t xml:space="preserve">do potrzeb </w:t>
            </w:r>
            <w:r w:rsidR="009D6170" w:rsidRPr="00957B06">
              <w:rPr>
                <w:rFonts w:cs="Calibri"/>
                <w:color w:val="000000"/>
                <w:spacing w:val="-2"/>
              </w:rPr>
              <w:t>i</w:t>
            </w:r>
            <w:r w:rsidR="008D6C11" w:rsidRPr="00957B06">
              <w:rPr>
                <w:rFonts w:cs="Calibri"/>
                <w:color w:val="000000"/>
                <w:spacing w:val="-2"/>
              </w:rPr>
              <w:t xml:space="preserve"> możliwości podmiotu publicznego.</w:t>
            </w:r>
            <w:r w:rsidR="0022730B" w:rsidRPr="00957B06">
              <w:rPr>
                <w:rFonts w:cs="Calibri"/>
                <w:color w:val="000000"/>
                <w:spacing w:val="-2"/>
              </w:rPr>
              <w:t xml:space="preserve"> </w:t>
            </w:r>
          </w:p>
          <w:p w14:paraId="714612F4" w14:textId="0CE7F723" w:rsidR="0022730B" w:rsidRPr="00957B06" w:rsidRDefault="0022730B" w:rsidP="0054124A">
            <w:pPr>
              <w:pStyle w:val="TableParagraph"/>
              <w:ind w:left="0" w:right="101"/>
              <w:jc w:val="both"/>
              <w:rPr>
                <w:rFonts w:cs="Calibri"/>
                <w:color w:val="000000"/>
                <w:spacing w:val="-2"/>
              </w:rPr>
            </w:pPr>
            <w:r w:rsidRPr="00957B06">
              <w:rPr>
                <w:rFonts w:cs="Calibri"/>
                <w:color w:val="000000"/>
                <w:spacing w:val="-2"/>
              </w:rPr>
              <w:t>Elastyczność przepisów</w:t>
            </w:r>
            <w:r w:rsidR="00726FF3" w:rsidRPr="00957B06">
              <w:rPr>
                <w:rFonts w:cs="Calibri"/>
                <w:color w:val="000000"/>
                <w:spacing w:val="-2"/>
              </w:rPr>
              <w:t xml:space="preserve"> art 6 UZD, a także błędna interpretacja ww. art. 70 i 7 UZD są jednak </w:t>
            </w:r>
            <w:r w:rsidRPr="00957B06">
              <w:rPr>
                <w:rFonts w:cs="Calibri"/>
                <w:color w:val="000000"/>
                <w:spacing w:val="-2"/>
              </w:rPr>
              <w:t>jednym ze źródeł niepełnego stosowania</w:t>
            </w:r>
            <w:r w:rsidR="00726FF3" w:rsidRPr="00957B06">
              <w:rPr>
                <w:rFonts w:cs="Calibri"/>
                <w:color w:val="000000"/>
                <w:spacing w:val="-2"/>
              </w:rPr>
              <w:t xml:space="preserve"> przepisów UZD oraz</w:t>
            </w:r>
            <w:r w:rsidRPr="00957B06">
              <w:rPr>
                <w:rFonts w:cs="Calibri"/>
                <w:color w:val="000000"/>
                <w:spacing w:val="-2"/>
              </w:rPr>
              <w:t xml:space="preserve"> ograniczonej skuteczności w niektórych</w:t>
            </w:r>
            <w:r w:rsidR="00726FF3" w:rsidRPr="00957B06">
              <w:rPr>
                <w:rFonts w:cs="Calibri"/>
                <w:color w:val="000000"/>
                <w:spacing w:val="-2"/>
              </w:rPr>
              <w:t xml:space="preserve"> przepisów. B</w:t>
            </w:r>
            <w:r w:rsidRPr="00957B06">
              <w:rPr>
                <w:rFonts w:cs="Calibri"/>
                <w:color w:val="000000"/>
                <w:spacing w:val="-2"/>
              </w:rPr>
              <w:t xml:space="preserve">rak precyzyjnych wymagań osłabia działanie norm prawnych pozostawiając szersze pole do interpretacji i wyszukiwania argumentów pozwalających na odstępstwa od wyrażonych w ustawie norm. </w:t>
            </w:r>
          </w:p>
          <w:p w14:paraId="45DE72A7" w14:textId="4CB7364D" w:rsidR="0022730B" w:rsidRPr="00957B06" w:rsidRDefault="0022730B" w:rsidP="0022730B">
            <w:pPr>
              <w:pStyle w:val="TableParagraph"/>
              <w:ind w:right="101"/>
              <w:jc w:val="both"/>
              <w:rPr>
                <w:rFonts w:cs="Calibri"/>
                <w:color w:val="000000"/>
                <w:spacing w:val="-2"/>
              </w:rPr>
            </w:pPr>
            <w:r w:rsidRPr="00957B06">
              <w:rPr>
                <w:rFonts w:cs="Calibri"/>
                <w:color w:val="000000"/>
                <w:spacing w:val="-2"/>
              </w:rPr>
              <w:t>(6)</w:t>
            </w:r>
          </w:p>
          <w:p w14:paraId="4D719513" w14:textId="1528834E" w:rsidR="009C5002" w:rsidRPr="00957B06" w:rsidRDefault="00726FF3" w:rsidP="0054124A">
            <w:pPr>
              <w:pStyle w:val="TableParagraph"/>
              <w:ind w:left="0" w:right="101"/>
              <w:jc w:val="both"/>
              <w:rPr>
                <w:rFonts w:cs="Calibri"/>
                <w:color w:val="000000"/>
                <w:spacing w:val="-2"/>
              </w:rPr>
            </w:pPr>
            <w:r w:rsidRPr="00957B06">
              <w:rPr>
                <w:rFonts w:cs="Calibri"/>
                <w:color w:val="000000"/>
                <w:spacing w:val="-2"/>
              </w:rPr>
              <w:t xml:space="preserve">Jak wspomniano już wcześniej w UZD </w:t>
            </w:r>
            <w:r w:rsidR="00F7027E" w:rsidRPr="00957B06">
              <w:rPr>
                <w:rFonts w:cs="Calibri"/>
                <w:color w:val="000000"/>
                <w:spacing w:val="-2"/>
              </w:rPr>
              <w:t>nie okreś</w:t>
            </w:r>
            <w:r w:rsidRPr="00957B06">
              <w:rPr>
                <w:rFonts w:cs="Calibri"/>
                <w:color w:val="000000"/>
                <w:spacing w:val="-2"/>
              </w:rPr>
              <w:t>lono</w:t>
            </w:r>
            <w:r w:rsidR="00F7027E" w:rsidRPr="00957B06">
              <w:rPr>
                <w:rFonts w:cs="Calibri"/>
                <w:color w:val="000000"/>
                <w:spacing w:val="-2"/>
              </w:rPr>
              <w:t xml:space="preserve">  mechanizmu kontroli wypełniania przez podmioty publiczne obowiązku powołania funkcji koordynatora dostępności.</w:t>
            </w:r>
            <w:r w:rsidRPr="00957B06">
              <w:rPr>
                <w:rFonts w:cs="Calibri"/>
                <w:color w:val="000000"/>
                <w:spacing w:val="-2"/>
              </w:rPr>
              <w:t xml:space="preserve"> Informacja o tym czy  podmiot wyznaczył taką funkcję nie jest wymaganym elementem ani deklaracji dostępności (regulowanej ustawą </w:t>
            </w:r>
            <w:r w:rsidR="00B75A4A" w:rsidRPr="00957B06">
              <w:rPr>
                <w:rFonts w:cs="Calibri"/>
                <w:color w:val="000000"/>
                <w:spacing w:val="-2"/>
              </w:rPr>
              <w:t xml:space="preserve">z dnia 4 kwietnia 2019 r. </w:t>
            </w:r>
            <w:r w:rsidRPr="00957B06">
              <w:rPr>
                <w:rFonts w:cs="Calibri"/>
                <w:color w:val="000000"/>
                <w:spacing w:val="-2"/>
              </w:rPr>
              <w:t xml:space="preserve">o dostępności cyfrowej stron internetowych </w:t>
            </w:r>
            <w:r w:rsidR="000F5131" w:rsidRPr="00957B06">
              <w:rPr>
                <w:rFonts w:cs="Calibri"/>
                <w:color w:val="000000"/>
                <w:spacing w:val="-2"/>
              </w:rPr>
              <w:t xml:space="preserve">i </w:t>
            </w:r>
            <w:r w:rsidR="00B75A4A" w:rsidRPr="00957B06">
              <w:rPr>
                <w:rFonts w:cs="Calibri"/>
                <w:color w:val="000000"/>
                <w:spacing w:val="-2"/>
              </w:rPr>
              <w:t>a</w:t>
            </w:r>
            <w:r w:rsidR="000F5131" w:rsidRPr="00957B06">
              <w:rPr>
                <w:rFonts w:cs="Calibri"/>
                <w:color w:val="000000"/>
                <w:spacing w:val="-2"/>
              </w:rPr>
              <w:t>plikacji mobi</w:t>
            </w:r>
            <w:r w:rsidR="00B75A4A" w:rsidRPr="00957B06">
              <w:rPr>
                <w:rFonts w:cs="Calibri"/>
                <w:color w:val="000000"/>
                <w:spacing w:val="-2"/>
              </w:rPr>
              <w:t xml:space="preserve">lnych </w:t>
            </w:r>
            <w:r w:rsidR="000F5131" w:rsidRPr="00957B06">
              <w:rPr>
                <w:rFonts w:cs="Calibri"/>
                <w:color w:val="000000"/>
                <w:spacing w:val="-2"/>
              </w:rPr>
              <w:t>podmi</w:t>
            </w:r>
            <w:r w:rsidR="00B75A4A" w:rsidRPr="00957B06">
              <w:rPr>
                <w:rFonts w:cs="Calibri"/>
                <w:color w:val="000000"/>
                <w:spacing w:val="-2"/>
              </w:rPr>
              <w:t>o</w:t>
            </w:r>
            <w:r w:rsidR="000F5131" w:rsidRPr="00957B06">
              <w:rPr>
                <w:rFonts w:cs="Calibri"/>
                <w:color w:val="000000"/>
                <w:spacing w:val="-2"/>
              </w:rPr>
              <w:t>tów publicznych</w:t>
            </w:r>
            <w:r w:rsidR="00B75A4A" w:rsidRPr="00957B06">
              <w:rPr>
                <w:rFonts w:cs="Calibri"/>
                <w:color w:val="000000"/>
                <w:spacing w:val="-2"/>
              </w:rPr>
              <w:t xml:space="preserve">) ani składanego co 4 lata  raportu o stanie zapewniania dostępności (art. 11 UZD). UZD w żadnym miejscu nie daje wprost ministrowi ds. rozwoju regionalnego uprawnień do wymagania informacji na temat spełniania tego obowiązku ani monitorowania liczby koordynatorów (na wzór np. liczby certyfikatów dostępności – art.  28)  Jak wspomniano wcześniej bazując na art. 9 określającym zadania ministra w zakresie koordynacji polityki </w:t>
            </w:r>
            <w:r w:rsidR="00AD7771" w:rsidRPr="00957B06">
              <w:rPr>
                <w:rFonts w:cs="Calibri"/>
                <w:color w:val="000000"/>
                <w:spacing w:val="-2"/>
              </w:rPr>
              <w:t>zapewniania</w:t>
            </w:r>
            <w:r w:rsidR="00B75A4A" w:rsidRPr="00957B06">
              <w:rPr>
                <w:rFonts w:cs="Calibri"/>
                <w:color w:val="000000"/>
                <w:spacing w:val="-2"/>
              </w:rPr>
              <w:t xml:space="preserve"> dostępności MFIPR od września 2020 ( moment  wejścia w życie przepisów art. 14) zachęca</w:t>
            </w:r>
            <w:r w:rsidR="00AD7771" w:rsidRPr="00957B06">
              <w:rPr>
                <w:rFonts w:cs="Calibri"/>
                <w:color w:val="000000"/>
                <w:spacing w:val="-2"/>
              </w:rPr>
              <w:t xml:space="preserve"> </w:t>
            </w:r>
            <w:r w:rsidR="00B75A4A" w:rsidRPr="00957B06">
              <w:rPr>
                <w:rFonts w:cs="Calibri"/>
                <w:color w:val="000000"/>
                <w:spacing w:val="-2"/>
              </w:rPr>
              <w:t>podmioty publiczne do przekazywania informacji o wyznaczeniu koordynatora</w:t>
            </w:r>
            <w:r w:rsidR="00AD7771" w:rsidRPr="00957B06">
              <w:rPr>
                <w:rFonts w:cs="Calibri"/>
                <w:color w:val="000000"/>
                <w:spacing w:val="-2"/>
              </w:rPr>
              <w:t xml:space="preserve">, </w:t>
            </w:r>
            <w:r w:rsidR="00B75A4A" w:rsidRPr="00957B06">
              <w:rPr>
                <w:rFonts w:cs="Calibri"/>
                <w:color w:val="000000"/>
                <w:spacing w:val="-2"/>
              </w:rPr>
              <w:t>a pozyskane informacje o  podmiotach gdzie jest osoba pełniąca taka funkcję także publikuje na stronie (</w:t>
            </w:r>
            <w:hyperlink r:id="rId18" w:history="1">
              <w:r w:rsidR="00B75A4A" w:rsidRPr="00957B06">
                <w:rPr>
                  <w:rStyle w:val="Hipercze"/>
                  <w:rFonts w:cs="Calibri"/>
                  <w:spacing w:val="-2"/>
                </w:rPr>
                <w:t>link do strony z listą podmiotów które  wyznaczył koordynatora</w:t>
              </w:r>
            </w:hyperlink>
            <w:r w:rsidR="00B75A4A" w:rsidRPr="00467BD3">
              <w:rPr>
                <w:rFonts w:cs="Calibri"/>
                <w:color w:val="000000"/>
                <w:spacing w:val="-2"/>
              </w:rPr>
              <w:t>). Zgodnie z tymi informacjami</w:t>
            </w:r>
            <w:r w:rsidR="00F7027E" w:rsidRPr="00957B06">
              <w:rPr>
                <w:rFonts w:cs="Calibri"/>
                <w:color w:val="000000"/>
                <w:spacing w:val="-2"/>
              </w:rPr>
              <w:t xml:space="preserve"> ok. 3000 podmiotów publicznych</w:t>
            </w:r>
            <w:r w:rsidR="00B75A4A" w:rsidRPr="00957B06">
              <w:rPr>
                <w:rFonts w:cs="Calibri"/>
                <w:color w:val="000000"/>
                <w:spacing w:val="-2"/>
              </w:rPr>
              <w:t xml:space="preserve"> ma </w:t>
            </w:r>
            <w:r w:rsidR="00AD7771" w:rsidRPr="00957B06">
              <w:rPr>
                <w:rFonts w:cs="Calibri"/>
                <w:color w:val="000000"/>
                <w:spacing w:val="-2"/>
              </w:rPr>
              <w:t xml:space="preserve">wyznaczonego koordynatora (dane te nie są  aktualizowane obligatoryjnie ani weryfikowane). </w:t>
            </w:r>
            <w:r w:rsidR="00AD7771" w:rsidRPr="00957B06">
              <w:rPr>
                <w:rFonts w:cs="Calibri"/>
                <w:color w:val="000000"/>
                <w:spacing w:val="-2"/>
              </w:rPr>
              <w:br/>
              <w:t xml:space="preserve">Trzeba zaznaczyć  ze są to zarówno </w:t>
            </w:r>
            <w:r w:rsidR="00F7027E" w:rsidRPr="00957B06">
              <w:rPr>
                <w:rFonts w:cs="Calibri"/>
                <w:color w:val="000000"/>
                <w:spacing w:val="-2"/>
              </w:rPr>
              <w:t>podmioty publiczne wprost zobowiązane przepisami ustawy</w:t>
            </w:r>
            <w:r w:rsidR="00AD7771" w:rsidRPr="00957B06">
              <w:rPr>
                <w:rFonts w:cs="Calibri"/>
                <w:color w:val="000000"/>
                <w:spacing w:val="-2"/>
              </w:rPr>
              <w:t xml:space="preserve"> do posiadania takiej  funkcji </w:t>
            </w:r>
            <w:r w:rsidR="00055FD0" w:rsidRPr="00957B06">
              <w:rPr>
                <w:rFonts w:cs="Calibri"/>
                <w:color w:val="000000"/>
                <w:spacing w:val="-2"/>
              </w:rPr>
              <w:br/>
            </w:r>
            <w:r w:rsidR="00AD7771" w:rsidRPr="00957B06">
              <w:rPr>
                <w:rFonts w:cs="Calibri"/>
                <w:color w:val="000000"/>
                <w:spacing w:val="-2"/>
              </w:rPr>
              <w:t xml:space="preserve">(organy  władzy, sądy, trybunały) jak i </w:t>
            </w:r>
            <w:r w:rsidR="00F7027E" w:rsidRPr="00957B06">
              <w:rPr>
                <w:rFonts w:cs="Calibri"/>
                <w:color w:val="000000"/>
                <w:spacing w:val="-2"/>
              </w:rPr>
              <w:t>podmioty nie zobowiązane ale rozwijające praktyki w zakresie dostępności</w:t>
            </w:r>
            <w:r w:rsidR="00AD7771" w:rsidRPr="00957B06">
              <w:rPr>
                <w:rFonts w:cs="Calibri"/>
                <w:color w:val="000000"/>
                <w:spacing w:val="-2"/>
              </w:rPr>
              <w:t xml:space="preserve"> – np. </w:t>
            </w:r>
            <w:r w:rsidR="00F7027E" w:rsidRPr="00957B06">
              <w:rPr>
                <w:rFonts w:cs="Calibri"/>
                <w:color w:val="000000"/>
                <w:spacing w:val="-2"/>
              </w:rPr>
              <w:t xml:space="preserve"> instytucj</w:t>
            </w:r>
            <w:r w:rsidR="00AD7771" w:rsidRPr="00957B06">
              <w:rPr>
                <w:rFonts w:cs="Calibri"/>
                <w:color w:val="000000"/>
                <w:spacing w:val="-2"/>
              </w:rPr>
              <w:t>e</w:t>
            </w:r>
            <w:r w:rsidR="00F7027E" w:rsidRPr="00957B06">
              <w:rPr>
                <w:rFonts w:cs="Calibri"/>
                <w:color w:val="000000"/>
                <w:spacing w:val="-2"/>
              </w:rPr>
              <w:t xml:space="preserve"> kultury </w:t>
            </w:r>
            <w:r w:rsidR="00AD7771" w:rsidRPr="00957B06">
              <w:rPr>
                <w:rFonts w:cs="Calibri"/>
                <w:color w:val="000000"/>
                <w:spacing w:val="-2"/>
              </w:rPr>
              <w:t xml:space="preserve"> takie </w:t>
            </w:r>
            <w:r w:rsidR="00F7027E" w:rsidRPr="00957B06">
              <w:rPr>
                <w:rFonts w:cs="Calibri"/>
                <w:color w:val="000000"/>
                <w:spacing w:val="-2"/>
              </w:rPr>
              <w:t xml:space="preserve">jak muzea, tatry, </w:t>
            </w:r>
            <w:r w:rsidR="00AD7771" w:rsidRPr="00957B06">
              <w:rPr>
                <w:rFonts w:cs="Calibri"/>
                <w:color w:val="000000"/>
                <w:spacing w:val="-2"/>
              </w:rPr>
              <w:t xml:space="preserve">domy kultury </w:t>
            </w:r>
            <w:r w:rsidR="00F7027E" w:rsidRPr="00957B06">
              <w:rPr>
                <w:rFonts w:cs="Calibri"/>
                <w:color w:val="000000"/>
                <w:spacing w:val="-2"/>
              </w:rPr>
              <w:t>jak również uczelnie i szkoły niepubliczne</w:t>
            </w:r>
            <w:r w:rsidR="00AD7771" w:rsidRPr="00957B06">
              <w:rPr>
                <w:rFonts w:cs="Calibri"/>
                <w:color w:val="000000"/>
                <w:spacing w:val="-2"/>
              </w:rPr>
              <w:t xml:space="preserve"> a także placówki ochrony zdrowia</w:t>
            </w:r>
            <w:r w:rsidR="00F7027E" w:rsidRPr="00957B06">
              <w:rPr>
                <w:rFonts w:cs="Calibri"/>
                <w:color w:val="000000"/>
                <w:spacing w:val="-2"/>
              </w:rPr>
              <w:t xml:space="preserve">. </w:t>
            </w:r>
          </w:p>
          <w:p w14:paraId="2307CEC0" w14:textId="0116F69E" w:rsidR="0080798F" w:rsidRPr="00957B06" w:rsidRDefault="0022730B" w:rsidP="0022730B">
            <w:pPr>
              <w:pStyle w:val="NormalnyWeb"/>
              <w:rPr>
                <w:rFonts w:cs="Calibri"/>
                <w:color w:val="000000"/>
                <w:spacing w:val="-2"/>
                <w:sz w:val="22"/>
                <w:szCs w:val="22"/>
                <w:lang w:eastAsia="en-US"/>
              </w:rPr>
            </w:pPr>
            <w:r w:rsidRPr="00957B06">
              <w:rPr>
                <w:rFonts w:cs="Calibri"/>
                <w:color w:val="000000"/>
                <w:spacing w:val="-2"/>
                <w:sz w:val="22"/>
                <w:szCs w:val="22"/>
                <w:lang w:eastAsia="en-US"/>
              </w:rPr>
              <w:t>(7)</w:t>
            </w:r>
            <w:r w:rsidR="00AC6EF7" w:rsidRPr="00957B06">
              <w:rPr>
                <w:rFonts w:cs="Calibri"/>
                <w:color w:val="000000"/>
                <w:spacing w:val="-2"/>
                <w:sz w:val="22"/>
                <w:szCs w:val="22"/>
                <w:lang w:eastAsia="en-US"/>
              </w:rPr>
              <w:br/>
            </w:r>
            <w:r w:rsidR="00863B3A" w:rsidRPr="00957B06">
              <w:rPr>
                <w:rFonts w:cs="Calibri"/>
                <w:color w:val="000000"/>
                <w:spacing w:val="-2"/>
                <w:sz w:val="22"/>
                <w:szCs w:val="22"/>
                <w:lang w:eastAsia="en-US"/>
              </w:rPr>
              <w:t>Wprowadzenie ustawy dało podstawę do szeregu innych zmian związanych z kształtowaniem dostępności w politykach publicznych</w:t>
            </w:r>
            <w:r w:rsidR="00A46E02" w:rsidRPr="00957B06">
              <w:rPr>
                <w:rFonts w:cs="Calibri"/>
                <w:color w:val="000000"/>
                <w:spacing w:val="-2"/>
                <w:sz w:val="22"/>
                <w:szCs w:val="22"/>
                <w:lang w:eastAsia="en-US"/>
              </w:rPr>
              <w:t xml:space="preserve"> również na poziomie </w:t>
            </w:r>
            <w:r w:rsidRPr="00957B06">
              <w:rPr>
                <w:rFonts w:cs="Calibri"/>
                <w:color w:val="000000"/>
                <w:spacing w:val="-2"/>
                <w:sz w:val="22"/>
                <w:szCs w:val="22"/>
                <w:lang w:eastAsia="en-US"/>
              </w:rPr>
              <w:t>lokalnym</w:t>
            </w:r>
            <w:r w:rsidR="00863B3A" w:rsidRPr="00957B06">
              <w:rPr>
                <w:rFonts w:cs="Calibri"/>
                <w:color w:val="000000"/>
                <w:spacing w:val="-2"/>
                <w:sz w:val="22"/>
                <w:szCs w:val="22"/>
                <w:lang w:eastAsia="en-US"/>
              </w:rPr>
              <w:t>. Kryteria związane z potrzebą zapewniania dostępności pojawiły się w procedurach oceny projektów zgłaszanych w ramach budżetu obywatelskiego. Nie jest</w:t>
            </w:r>
            <w:r w:rsidR="00A46E02" w:rsidRPr="00957B06">
              <w:rPr>
                <w:rFonts w:cs="Calibri"/>
                <w:color w:val="000000"/>
                <w:spacing w:val="-2"/>
                <w:sz w:val="22"/>
                <w:szCs w:val="22"/>
                <w:lang w:eastAsia="en-US"/>
              </w:rPr>
              <w:t xml:space="preserve"> obowiązkiem ani też </w:t>
            </w:r>
            <w:r w:rsidR="00863B3A" w:rsidRPr="00957B06">
              <w:rPr>
                <w:rFonts w:cs="Calibri"/>
                <w:color w:val="000000"/>
                <w:spacing w:val="-2"/>
                <w:sz w:val="22"/>
                <w:szCs w:val="22"/>
                <w:lang w:eastAsia="en-US"/>
              </w:rPr>
              <w:t xml:space="preserve">praktyką powszechną ale bardziej dojrzałe samorządy wprowadzają takie rozwiązania np. Miasto Stołeczne Warszawa. </w:t>
            </w:r>
          </w:p>
          <w:p w14:paraId="32D7D196" w14:textId="7E06680E" w:rsidR="00A46E02" w:rsidRPr="00957B06" w:rsidRDefault="00F775FB" w:rsidP="0022730B">
            <w:pPr>
              <w:pStyle w:val="NormalnyWeb"/>
              <w:rPr>
                <w:rFonts w:cs="Calibri"/>
                <w:color w:val="000000"/>
                <w:spacing w:val="-2"/>
                <w:sz w:val="22"/>
                <w:szCs w:val="22"/>
                <w:lang w:eastAsia="en-US"/>
              </w:rPr>
            </w:pPr>
            <w:r w:rsidRPr="00957B06">
              <w:rPr>
                <w:rFonts w:cs="Calibri"/>
                <w:color w:val="000000"/>
                <w:spacing w:val="-2"/>
                <w:sz w:val="22"/>
                <w:szCs w:val="22"/>
                <w:lang w:eastAsia="en-US"/>
              </w:rPr>
              <w:t xml:space="preserve">Od 2019 roku </w:t>
            </w:r>
            <w:proofErr w:type="spellStart"/>
            <w:r w:rsidRPr="00957B06">
              <w:rPr>
                <w:rFonts w:cs="Calibri"/>
                <w:color w:val="000000"/>
                <w:spacing w:val="-2"/>
                <w:sz w:val="22"/>
                <w:szCs w:val="22"/>
                <w:lang w:eastAsia="en-US"/>
              </w:rPr>
              <w:t>MKiDN</w:t>
            </w:r>
            <w:proofErr w:type="spellEnd"/>
            <w:r w:rsidRPr="00957B06">
              <w:rPr>
                <w:rFonts w:cs="Calibri"/>
                <w:color w:val="000000"/>
                <w:spacing w:val="-2"/>
                <w:sz w:val="22"/>
                <w:szCs w:val="22"/>
                <w:lang w:eastAsia="en-US"/>
              </w:rPr>
              <w:t xml:space="preserve"> co roku realizuje programy dotacyjne, w ramach których wspierane są m.in. przedsięwzięcia na rzecz dostępności kultury dla osób ze szczególnymi potrzebami. Do maja 2025 r. odbyło się </w:t>
            </w:r>
            <w:r w:rsidR="00A46E02" w:rsidRPr="00957B06">
              <w:rPr>
                <w:rFonts w:cs="Calibri"/>
                <w:color w:val="000000"/>
                <w:spacing w:val="-2"/>
                <w:sz w:val="22"/>
                <w:szCs w:val="22"/>
                <w:lang w:eastAsia="en-US"/>
              </w:rPr>
              <w:t>6</w:t>
            </w:r>
            <w:r w:rsidRPr="00957B06">
              <w:rPr>
                <w:rFonts w:cs="Calibri"/>
                <w:color w:val="000000"/>
                <w:spacing w:val="-2"/>
                <w:sz w:val="22"/>
                <w:szCs w:val="22"/>
                <w:lang w:eastAsia="en-US"/>
              </w:rPr>
              <w:t xml:space="preserve"> edycji programów: Kultura Dostępna, Infrastruktura Kultury, Infrastruktura domów kultury, Infrastruktura szkolnictwa artystycznego, Edukacja</w:t>
            </w:r>
            <w:r w:rsidR="00A46E02" w:rsidRPr="00957B06">
              <w:rPr>
                <w:rFonts w:cs="Calibri"/>
                <w:color w:val="000000"/>
                <w:spacing w:val="-2"/>
                <w:sz w:val="22"/>
                <w:szCs w:val="22"/>
                <w:lang w:eastAsia="en-US"/>
              </w:rPr>
              <w:t xml:space="preserve"> </w:t>
            </w:r>
            <w:r w:rsidR="00F43F86" w:rsidRPr="00957B06">
              <w:rPr>
                <w:rFonts w:cs="Calibri"/>
                <w:color w:val="000000"/>
                <w:spacing w:val="-2"/>
                <w:sz w:val="22"/>
                <w:szCs w:val="22"/>
                <w:lang w:eastAsia="en-US"/>
              </w:rPr>
              <w:t>K</w:t>
            </w:r>
            <w:r w:rsidRPr="00957B06">
              <w:rPr>
                <w:rFonts w:cs="Calibri"/>
                <w:color w:val="000000"/>
                <w:spacing w:val="-2"/>
                <w:sz w:val="22"/>
                <w:szCs w:val="22"/>
                <w:lang w:eastAsia="en-US"/>
              </w:rPr>
              <w:t>ulturalna, Wydarzenia artystyczne dla dzieci i młodzieży, Kultura cyfrowa, Literatura, Partnerstwo dla książki, Promocja</w:t>
            </w:r>
            <w:r w:rsidR="00F43F86" w:rsidRPr="00957B06">
              <w:rPr>
                <w:rFonts w:cs="Calibri"/>
                <w:color w:val="000000"/>
                <w:spacing w:val="-2"/>
                <w:sz w:val="22"/>
                <w:szCs w:val="22"/>
                <w:lang w:eastAsia="en-US"/>
              </w:rPr>
              <w:t xml:space="preserve"> </w:t>
            </w:r>
            <w:r w:rsidR="00A46E02" w:rsidRPr="00957B06">
              <w:rPr>
                <w:rFonts w:cs="Calibri"/>
                <w:color w:val="000000"/>
                <w:spacing w:val="-2"/>
                <w:sz w:val="22"/>
                <w:szCs w:val="22"/>
                <w:lang w:eastAsia="en-US"/>
              </w:rPr>
              <w:t>c</w:t>
            </w:r>
            <w:r w:rsidRPr="00957B06">
              <w:rPr>
                <w:rFonts w:cs="Calibri"/>
                <w:color w:val="000000"/>
                <w:spacing w:val="-2"/>
                <w:sz w:val="22"/>
                <w:szCs w:val="22"/>
                <w:lang w:eastAsia="en-US"/>
              </w:rPr>
              <w:t>zytelnictwa, Czasopisma, Film i Teatr.</w:t>
            </w:r>
            <w:r w:rsidR="00A46E02" w:rsidRPr="00957B06">
              <w:rPr>
                <w:rFonts w:cs="Calibri"/>
                <w:color w:val="000000"/>
                <w:spacing w:val="-2"/>
                <w:sz w:val="22"/>
                <w:szCs w:val="22"/>
                <w:lang w:eastAsia="en-US"/>
              </w:rPr>
              <w:t xml:space="preserve"> </w:t>
            </w:r>
            <w:r w:rsidRPr="00957B06">
              <w:rPr>
                <w:rFonts w:cs="Calibri"/>
                <w:color w:val="000000"/>
                <w:spacing w:val="-2"/>
                <w:sz w:val="22"/>
                <w:szCs w:val="22"/>
                <w:lang w:eastAsia="en-US"/>
              </w:rPr>
              <w:t xml:space="preserve">Tylko w 2024 roku w ramach tych programów dofinansowano 77 projektów </w:t>
            </w:r>
            <w:proofErr w:type="spellStart"/>
            <w:r w:rsidRPr="00957B06">
              <w:rPr>
                <w:rFonts w:cs="Calibri"/>
                <w:color w:val="000000"/>
                <w:spacing w:val="-2"/>
                <w:sz w:val="22"/>
                <w:szCs w:val="22"/>
                <w:lang w:eastAsia="en-US"/>
              </w:rPr>
              <w:t>dost</w:t>
            </w:r>
            <w:r w:rsidR="00F43F86" w:rsidRPr="00957B06">
              <w:rPr>
                <w:rFonts w:cs="Calibri"/>
                <w:color w:val="000000"/>
                <w:spacing w:val="-2"/>
                <w:sz w:val="22"/>
                <w:szCs w:val="22"/>
                <w:lang w:eastAsia="en-US"/>
              </w:rPr>
              <w:t>ę</w:t>
            </w:r>
            <w:r w:rsidRPr="00957B06">
              <w:rPr>
                <w:rFonts w:cs="Calibri"/>
                <w:color w:val="000000"/>
                <w:spacing w:val="-2"/>
                <w:sz w:val="22"/>
                <w:szCs w:val="22"/>
                <w:lang w:eastAsia="en-US"/>
              </w:rPr>
              <w:t>pnościowych</w:t>
            </w:r>
            <w:proofErr w:type="spellEnd"/>
            <w:r w:rsidRPr="00957B06">
              <w:rPr>
                <w:rFonts w:cs="Calibri"/>
                <w:color w:val="000000"/>
                <w:spacing w:val="-2"/>
                <w:sz w:val="22"/>
                <w:szCs w:val="22"/>
                <w:lang w:eastAsia="en-US"/>
              </w:rPr>
              <w:t xml:space="preserve"> na łączną kwotę 4,31 mln zł. </w:t>
            </w:r>
          </w:p>
          <w:p w14:paraId="1556EE9E" w14:textId="4E41FD35" w:rsidR="001D3715" w:rsidRPr="00957B06" w:rsidRDefault="00AD7771" w:rsidP="0022730B">
            <w:pPr>
              <w:pStyle w:val="NormalnyWeb"/>
              <w:rPr>
                <w:rFonts w:cs="Calibri"/>
                <w:color w:val="000000"/>
                <w:spacing w:val="-2"/>
                <w:sz w:val="22"/>
                <w:szCs w:val="22"/>
                <w:lang w:eastAsia="en-US"/>
              </w:rPr>
            </w:pPr>
            <w:r w:rsidRPr="00957B06">
              <w:rPr>
                <w:rFonts w:cs="Calibri"/>
                <w:color w:val="000000"/>
                <w:spacing w:val="-2"/>
                <w:sz w:val="22"/>
                <w:szCs w:val="22"/>
                <w:lang w:eastAsia="en-US"/>
              </w:rPr>
              <w:lastRenderedPageBreak/>
              <w:t xml:space="preserve">Działanie wspierające zamianę niedostępnych lub zakup dostępnych mieszkań dla części osób ze szczególnymi potrzebami czy osób z niepełnosprawnościami prowadzi </w:t>
            </w:r>
            <w:r w:rsidR="00B202F9" w:rsidRPr="00957B06">
              <w:rPr>
                <w:rFonts w:cs="Calibri"/>
                <w:color w:val="000000"/>
                <w:spacing w:val="-2"/>
                <w:sz w:val="22"/>
                <w:szCs w:val="22"/>
                <w:lang w:eastAsia="en-US"/>
              </w:rPr>
              <w:t>PFRON</w:t>
            </w:r>
            <w:r w:rsidRPr="00957B06">
              <w:rPr>
                <w:rFonts w:cs="Calibri"/>
                <w:color w:val="000000"/>
                <w:spacing w:val="-2"/>
                <w:sz w:val="22"/>
                <w:szCs w:val="22"/>
                <w:lang w:eastAsia="en-US"/>
              </w:rPr>
              <w:t xml:space="preserve">. Realizuje on programy prezesa zarządu PREON takie jak </w:t>
            </w:r>
            <w:r w:rsidR="00B202F9" w:rsidRPr="00957B06">
              <w:rPr>
                <w:rFonts w:cs="Calibri"/>
                <w:color w:val="000000"/>
                <w:spacing w:val="-2"/>
                <w:sz w:val="22"/>
                <w:szCs w:val="22"/>
                <w:lang w:eastAsia="en-US"/>
              </w:rPr>
              <w:t xml:space="preserve"> </w:t>
            </w:r>
            <w:r w:rsidRPr="00957B06">
              <w:rPr>
                <w:rFonts w:cs="Calibri"/>
                <w:color w:val="000000"/>
                <w:spacing w:val="-2"/>
                <w:sz w:val="22"/>
                <w:szCs w:val="22"/>
                <w:lang w:eastAsia="en-US"/>
              </w:rPr>
              <w:t>„</w:t>
            </w:r>
            <w:r w:rsidR="00B202F9" w:rsidRPr="00957B06">
              <w:rPr>
                <w:rFonts w:cs="Calibri"/>
                <w:color w:val="000000"/>
                <w:spacing w:val="-2"/>
                <w:sz w:val="22"/>
                <w:szCs w:val="22"/>
                <w:lang w:eastAsia="en-US"/>
              </w:rPr>
              <w:t>Dostępne mieszkanie</w:t>
            </w:r>
            <w:r w:rsidRPr="00957B06">
              <w:rPr>
                <w:rFonts w:cs="Calibri"/>
                <w:color w:val="000000"/>
                <w:spacing w:val="-2"/>
                <w:sz w:val="22"/>
                <w:szCs w:val="22"/>
                <w:lang w:eastAsia="en-US"/>
              </w:rPr>
              <w:t xml:space="preserve">”  </w:t>
            </w:r>
            <w:r w:rsidR="00055FD0" w:rsidRPr="00957B06">
              <w:rPr>
                <w:rFonts w:cs="Calibri"/>
                <w:color w:val="000000"/>
                <w:spacing w:val="-2"/>
                <w:sz w:val="22"/>
                <w:szCs w:val="22"/>
                <w:lang w:eastAsia="en-US"/>
              </w:rPr>
              <w:br/>
            </w:r>
            <w:r w:rsidRPr="00957B06">
              <w:rPr>
                <w:rFonts w:cs="Calibri"/>
                <w:color w:val="000000"/>
                <w:spacing w:val="-2"/>
                <w:sz w:val="22"/>
                <w:szCs w:val="22"/>
                <w:lang w:eastAsia="en-US"/>
              </w:rPr>
              <w:t>(</w:t>
            </w:r>
            <w:r w:rsidR="00B202F9" w:rsidRPr="00957B06">
              <w:rPr>
                <w:rFonts w:cs="Calibri"/>
                <w:color w:val="000000"/>
                <w:spacing w:val="-2"/>
                <w:sz w:val="22"/>
                <w:szCs w:val="22"/>
                <w:lang w:eastAsia="en-US"/>
              </w:rPr>
              <w:t>modułów programu</w:t>
            </w:r>
            <w:r w:rsidR="00EA6F7F" w:rsidRPr="00957B06">
              <w:rPr>
                <w:rFonts w:cs="Calibri"/>
                <w:color w:val="000000"/>
                <w:spacing w:val="-2"/>
                <w:sz w:val="22"/>
                <w:szCs w:val="22"/>
                <w:lang w:eastAsia="en-US"/>
              </w:rPr>
              <w:t xml:space="preserve"> S-A-M (Samodzielność, Aktywność, Mieszkanie)</w:t>
            </w:r>
            <w:r w:rsidR="0065241A" w:rsidRPr="00957B06">
              <w:rPr>
                <w:rFonts w:cs="Calibri"/>
                <w:color w:val="000000"/>
                <w:spacing w:val="-2"/>
                <w:sz w:val="22"/>
                <w:szCs w:val="22"/>
                <w:lang w:eastAsia="en-US"/>
              </w:rPr>
              <w:t xml:space="preserve">. </w:t>
            </w:r>
            <w:r w:rsidR="00BB0781" w:rsidRPr="00957B06">
              <w:rPr>
                <w:rFonts w:cs="Calibri"/>
                <w:color w:val="000000"/>
                <w:spacing w:val="-2"/>
                <w:sz w:val="22"/>
                <w:szCs w:val="22"/>
                <w:lang w:eastAsia="en-US"/>
              </w:rPr>
              <w:t>Wsparcie polega na</w:t>
            </w:r>
            <w:r w:rsidR="0065241A" w:rsidRPr="00957B06">
              <w:rPr>
                <w:rFonts w:cs="Calibri"/>
                <w:color w:val="000000"/>
                <w:spacing w:val="-2"/>
                <w:sz w:val="22"/>
                <w:szCs w:val="22"/>
                <w:lang w:eastAsia="en-US"/>
              </w:rPr>
              <w:t xml:space="preserve"> dofinansowani</w:t>
            </w:r>
            <w:r w:rsidR="00467AE0" w:rsidRPr="00957B06">
              <w:rPr>
                <w:rFonts w:cs="Calibri"/>
                <w:color w:val="000000"/>
                <w:spacing w:val="-2"/>
                <w:sz w:val="22"/>
                <w:szCs w:val="22"/>
                <w:lang w:eastAsia="en-US"/>
              </w:rPr>
              <w:t xml:space="preserve">u </w:t>
            </w:r>
            <w:r w:rsidR="0065241A" w:rsidRPr="00957B06">
              <w:rPr>
                <w:rFonts w:cs="Calibri"/>
                <w:color w:val="000000"/>
                <w:spacing w:val="-2"/>
                <w:sz w:val="22"/>
                <w:szCs w:val="22"/>
                <w:lang w:eastAsia="en-US"/>
              </w:rPr>
              <w:t>zamiany lub zakupu mieszkania - pozbawione</w:t>
            </w:r>
            <w:r w:rsidR="00B310C3" w:rsidRPr="00957B06">
              <w:rPr>
                <w:rFonts w:cs="Calibri"/>
                <w:color w:val="000000"/>
                <w:spacing w:val="-2"/>
                <w:sz w:val="22"/>
                <w:szCs w:val="22"/>
                <w:lang w:eastAsia="en-US"/>
              </w:rPr>
              <w:t>go</w:t>
            </w:r>
            <w:r w:rsidR="0065241A" w:rsidRPr="00957B06">
              <w:rPr>
                <w:rFonts w:cs="Calibri"/>
                <w:color w:val="000000"/>
                <w:spacing w:val="-2"/>
                <w:sz w:val="22"/>
                <w:szCs w:val="22"/>
                <w:lang w:eastAsia="en-US"/>
              </w:rPr>
              <w:t xml:space="preserve"> barier architektonicznych, znajdującego się w lokalizacji umożliwiającej samodzielne opuszczenie budynku, aż do poziomu zero przed budynkiem</w:t>
            </w:r>
            <w:r w:rsidR="00B310C3" w:rsidRPr="00957B06">
              <w:rPr>
                <w:rFonts w:cs="Calibri"/>
                <w:color w:val="000000"/>
                <w:spacing w:val="-2"/>
                <w:sz w:val="22"/>
                <w:szCs w:val="22"/>
                <w:lang w:eastAsia="en-US"/>
              </w:rPr>
              <w:t>. Upoważnione do skorzystania ze wsparcia są osoby ze znacznym stopniem niepełnosprawności.</w:t>
            </w:r>
            <w:r w:rsidR="00B202F9" w:rsidRPr="00957B06">
              <w:rPr>
                <w:rFonts w:cs="Calibri"/>
                <w:color w:val="000000"/>
                <w:spacing w:val="-2"/>
                <w:sz w:val="22"/>
                <w:szCs w:val="22"/>
                <w:lang w:eastAsia="en-US"/>
              </w:rPr>
              <w:t xml:space="preserve"> Program jest uruchamiany corocznie od 2022 r. </w:t>
            </w:r>
            <w:r w:rsidR="00AB5327" w:rsidRPr="00957B06">
              <w:rPr>
                <w:rFonts w:cs="Calibri"/>
                <w:color w:val="000000"/>
                <w:spacing w:val="-2"/>
                <w:sz w:val="22"/>
                <w:szCs w:val="22"/>
                <w:lang w:eastAsia="en-US"/>
              </w:rPr>
              <w:t xml:space="preserve">Wysokość dofinansowania zależy od lokalizacji, w której nabywane jest mieszkanie i stanowi różnicę pomiędzy ceną mieszkania nabywanego i sprzedawanego. Budżet programu na lata 2022-2025 wynosi 150 mln zł i docelowo powinno z niego skorzystać ok. 1000 osób. </w:t>
            </w:r>
            <w:r w:rsidR="00E722E2" w:rsidRPr="00957B06">
              <w:rPr>
                <w:rFonts w:cs="Calibri"/>
                <w:color w:val="000000"/>
                <w:spacing w:val="-2"/>
                <w:sz w:val="22"/>
                <w:szCs w:val="22"/>
                <w:lang w:eastAsia="en-US"/>
              </w:rPr>
              <w:t>Mechanizm nie jest oceniany jako wysoko skuteczny. Nie ciszy się dużym zainteresowanie</w:t>
            </w:r>
            <w:r w:rsidR="00A46E02" w:rsidRPr="00957B06">
              <w:rPr>
                <w:rFonts w:cs="Calibri"/>
                <w:color w:val="000000"/>
                <w:spacing w:val="-2"/>
                <w:sz w:val="22"/>
                <w:szCs w:val="22"/>
                <w:lang w:eastAsia="en-US"/>
              </w:rPr>
              <w:t>m</w:t>
            </w:r>
            <w:r w:rsidR="00E722E2" w:rsidRPr="00957B06">
              <w:rPr>
                <w:rFonts w:cs="Calibri"/>
                <w:color w:val="000000"/>
                <w:spacing w:val="-2"/>
                <w:sz w:val="22"/>
                <w:szCs w:val="22"/>
                <w:lang w:eastAsia="en-US"/>
              </w:rPr>
              <w:t xml:space="preserve">. </w:t>
            </w:r>
            <w:r w:rsidR="00B82364" w:rsidRPr="00957B06">
              <w:rPr>
                <w:rFonts w:cs="Calibri"/>
                <w:color w:val="000000"/>
                <w:spacing w:val="-2"/>
                <w:sz w:val="22"/>
                <w:szCs w:val="22"/>
                <w:lang w:eastAsia="en-US"/>
              </w:rPr>
              <w:t xml:space="preserve">W 2022 r. w skali ogólnopolskie wypłacono wsparcie na kwotę 31 mln zł, w 2023 r. 1,6 mln zł, podobnie w 2024 r. 1,6 mln zł. W 2025 r., do połowy roku wypłacono 5,4 mln zł. Łącznie od rozpoczęcia programu ze wsparcia skorzystało 84 osoby </w:t>
            </w:r>
            <w:r w:rsidRPr="00957B06">
              <w:rPr>
                <w:rFonts w:cs="Calibri"/>
                <w:color w:val="000000"/>
                <w:spacing w:val="-2"/>
                <w:sz w:val="22"/>
                <w:szCs w:val="22"/>
                <w:lang w:eastAsia="en-US"/>
              </w:rPr>
              <w:t>(</w:t>
            </w:r>
            <w:r w:rsidR="00B82364" w:rsidRPr="00957B06">
              <w:rPr>
                <w:rFonts w:cs="Calibri"/>
                <w:color w:val="000000"/>
                <w:spacing w:val="-2"/>
                <w:sz w:val="22"/>
                <w:szCs w:val="22"/>
                <w:lang w:eastAsia="en-US"/>
              </w:rPr>
              <w:t xml:space="preserve">1 – 2022, 20 – 2023, 39 – 2024, 24 – 2025 (do połowy roku)). </w:t>
            </w:r>
          </w:p>
          <w:p w14:paraId="79602009" w14:textId="39D62C6C" w:rsidR="001D3715" w:rsidRPr="00957B06" w:rsidRDefault="0022730B" w:rsidP="0022730B">
            <w:pPr>
              <w:pStyle w:val="NormalnyWeb"/>
              <w:rPr>
                <w:rFonts w:cs="Calibri"/>
                <w:color w:val="000000"/>
                <w:spacing w:val="-2"/>
                <w:sz w:val="22"/>
                <w:szCs w:val="22"/>
                <w:lang w:eastAsia="en-US"/>
              </w:rPr>
            </w:pPr>
            <w:r w:rsidRPr="00957B06">
              <w:rPr>
                <w:rFonts w:cs="Calibri"/>
                <w:color w:val="000000"/>
                <w:spacing w:val="-2"/>
                <w:sz w:val="22"/>
                <w:szCs w:val="22"/>
                <w:lang w:eastAsia="en-US"/>
              </w:rPr>
              <w:t xml:space="preserve">- </w:t>
            </w:r>
            <w:r w:rsidR="001D3715" w:rsidRPr="00957B06">
              <w:rPr>
                <w:rFonts w:cs="Calibri"/>
                <w:color w:val="000000"/>
                <w:spacing w:val="-2"/>
                <w:sz w:val="22"/>
                <w:szCs w:val="22"/>
                <w:lang w:eastAsia="en-US"/>
              </w:rPr>
              <w:t xml:space="preserve">w ustawie Prawo Bankowe </w:t>
            </w:r>
            <w:r w:rsidR="00977032" w:rsidRPr="00957B06">
              <w:rPr>
                <w:rFonts w:cs="Calibri"/>
                <w:color w:val="000000"/>
                <w:spacing w:val="-2"/>
                <w:sz w:val="22"/>
                <w:szCs w:val="22"/>
                <w:lang w:eastAsia="en-US"/>
              </w:rPr>
              <w:t xml:space="preserve">art. 109 ust. 3 </w:t>
            </w:r>
            <w:r w:rsidR="001D3715" w:rsidRPr="00957B06">
              <w:rPr>
                <w:rFonts w:cs="Calibri"/>
                <w:color w:val="000000"/>
                <w:spacing w:val="-2"/>
                <w:sz w:val="22"/>
                <w:szCs w:val="22"/>
                <w:lang w:eastAsia="en-US"/>
              </w:rPr>
              <w:t>wprowadzono prawo osób ze szczególnymi potrzebami do wnioskowania o otrzymanie ogólnych warunków umów oraz regulaminów w formach dostępnych: nagranie audio, nagranie wizualne treści w polskim języku migowym, wydruk w alfabecie Braille'a lub wydruk z wielkością czcionki wygodną do czytania, w terminie 7 dni od zgłoszenia takiej potrzeby.</w:t>
            </w:r>
            <w:r w:rsidR="00AD7771" w:rsidRPr="00957B06">
              <w:rPr>
                <w:rFonts w:cs="Calibri"/>
                <w:color w:val="000000"/>
                <w:spacing w:val="-2"/>
                <w:sz w:val="22"/>
                <w:szCs w:val="22"/>
                <w:lang w:eastAsia="en-US"/>
              </w:rPr>
              <w:t xml:space="preserve"> MFIPR  nie posiada informacji o zakresie faktycznego wykorzystania tej regulacji</w:t>
            </w:r>
            <w:r w:rsidR="00421E33" w:rsidRPr="00957B06">
              <w:rPr>
                <w:rFonts w:cs="Calibri"/>
                <w:color w:val="000000"/>
                <w:spacing w:val="-2"/>
                <w:sz w:val="22"/>
                <w:szCs w:val="22"/>
                <w:lang w:eastAsia="en-US"/>
              </w:rPr>
              <w:t>.</w:t>
            </w:r>
            <w:r w:rsidR="00AD7771" w:rsidRPr="00957B06">
              <w:rPr>
                <w:rFonts w:cs="Calibri"/>
                <w:color w:val="000000"/>
                <w:spacing w:val="-2"/>
                <w:sz w:val="22"/>
                <w:szCs w:val="22"/>
                <w:lang w:eastAsia="en-US"/>
              </w:rPr>
              <w:t xml:space="preserve"> </w:t>
            </w:r>
          </w:p>
          <w:p w14:paraId="292F1E40" w14:textId="259B3BA1" w:rsidR="00D44E20" w:rsidRPr="00957B06" w:rsidRDefault="0022730B" w:rsidP="0022730B">
            <w:pPr>
              <w:pStyle w:val="NormalnyWeb"/>
              <w:rPr>
                <w:rFonts w:cs="Calibri"/>
                <w:color w:val="000000"/>
                <w:spacing w:val="-2"/>
                <w:sz w:val="22"/>
                <w:szCs w:val="22"/>
                <w:lang w:eastAsia="en-US"/>
              </w:rPr>
            </w:pPr>
            <w:r w:rsidRPr="00957B06">
              <w:rPr>
                <w:rFonts w:cs="Calibri"/>
                <w:color w:val="000000"/>
                <w:spacing w:val="-2"/>
                <w:sz w:val="22"/>
                <w:szCs w:val="22"/>
                <w:lang w:eastAsia="en-US"/>
              </w:rPr>
              <w:t xml:space="preserve">- </w:t>
            </w:r>
            <w:r w:rsidR="00D44E20" w:rsidRPr="00957B06">
              <w:rPr>
                <w:rFonts w:cs="Calibri"/>
                <w:color w:val="000000"/>
                <w:spacing w:val="-2"/>
                <w:sz w:val="22"/>
                <w:szCs w:val="22"/>
                <w:lang w:eastAsia="en-US"/>
              </w:rPr>
              <w:t xml:space="preserve">w ustawie o Prawach Pacjenta i Rzeczniku Praw Pacjenta w art. 12 ust. 2 wskazano, że </w:t>
            </w:r>
            <w:r w:rsidR="000F6DD9" w:rsidRPr="00957B06">
              <w:rPr>
                <w:rFonts w:cs="Calibri"/>
                <w:color w:val="000000"/>
                <w:spacing w:val="-2"/>
                <w:sz w:val="22"/>
                <w:szCs w:val="22"/>
                <w:lang w:eastAsia="en-US"/>
              </w:rPr>
              <w:t>pacjent będący osobą ze szczególnymi potrzebami, o której mowa w ustawie o zapewnianiu dostępności, ma prawo do otrzymania informacji o prawach pacjenta, w zrozumiały dla niego sposób, w szczególności z wykorzystaniem środków wspierających komunikowanie się, o których mowa w ustawie o języku migowym i innych środkach komunikowania się.</w:t>
            </w:r>
            <w:r w:rsidR="0038701A" w:rsidRPr="00957B06">
              <w:rPr>
                <w:rFonts w:cs="Calibri"/>
                <w:color w:val="000000"/>
                <w:spacing w:val="-2"/>
                <w:sz w:val="22"/>
                <w:szCs w:val="22"/>
                <w:lang w:eastAsia="en-US"/>
              </w:rPr>
              <w:t xml:space="preserve"> Stosowanie ustawy o języku migowym nie jest oceniane pozytywnie. </w:t>
            </w:r>
            <w:r w:rsidR="00DD2568" w:rsidRPr="00957B06">
              <w:rPr>
                <w:rFonts w:cs="Calibri"/>
                <w:color w:val="000000"/>
                <w:spacing w:val="-2"/>
                <w:sz w:val="22"/>
                <w:szCs w:val="22"/>
                <w:lang w:eastAsia="en-US"/>
              </w:rPr>
              <w:t xml:space="preserve">MFIPR  nie posiada informacji o zakresie faktycznego wykorzystania tej regulacji. </w:t>
            </w:r>
          </w:p>
          <w:p w14:paraId="7B855E13" w14:textId="4FF54594" w:rsidR="00D23436" w:rsidRPr="00957B06" w:rsidRDefault="00D23436" w:rsidP="000A32F0">
            <w:pPr>
              <w:pStyle w:val="TableParagraph"/>
              <w:ind w:left="107" w:right="101"/>
              <w:jc w:val="both"/>
              <w:rPr>
                <w:rFonts w:cs="Calibri"/>
                <w:color w:val="000000"/>
                <w:spacing w:val="-2"/>
              </w:rPr>
            </w:pPr>
          </w:p>
          <w:p w14:paraId="3D48F56D" w14:textId="24BB6CD4" w:rsidR="00F3283E" w:rsidRPr="00957B06" w:rsidRDefault="00092C93" w:rsidP="00092C93">
            <w:pPr>
              <w:pStyle w:val="TableParagraph"/>
              <w:ind w:right="101"/>
              <w:jc w:val="both"/>
              <w:rPr>
                <w:rFonts w:cs="Calibri"/>
                <w:b/>
                <w:bCs/>
                <w:color w:val="000000"/>
                <w:spacing w:val="-2"/>
              </w:rPr>
            </w:pPr>
            <w:r w:rsidRPr="00957B06">
              <w:rPr>
                <w:rFonts w:cs="Calibri"/>
                <w:b/>
                <w:bCs/>
                <w:color w:val="000000"/>
                <w:spacing w:val="-2"/>
              </w:rPr>
              <w:t xml:space="preserve">2. </w:t>
            </w:r>
            <w:r w:rsidR="00B97B37" w:rsidRPr="00957B06">
              <w:rPr>
                <w:rFonts w:cs="Calibri"/>
                <w:b/>
                <w:bCs/>
                <w:color w:val="000000"/>
                <w:spacing w:val="-2"/>
              </w:rPr>
              <w:t>Efekty ekonomiczne</w:t>
            </w:r>
          </w:p>
          <w:p w14:paraId="2D0B095E" w14:textId="1B733930" w:rsidR="00B8245E" w:rsidRPr="00957B06" w:rsidRDefault="00B8245E" w:rsidP="00D72B2A">
            <w:pPr>
              <w:pStyle w:val="TableParagraph"/>
              <w:ind w:left="0" w:right="101"/>
              <w:jc w:val="both"/>
              <w:rPr>
                <w:rFonts w:cs="Calibri"/>
                <w:color w:val="000000"/>
                <w:spacing w:val="-2"/>
              </w:rPr>
            </w:pPr>
          </w:p>
          <w:p w14:paraId="4FD3533B" w14:textId="1608BB9C" w:rsidR="009D793F" w:rsidRPr="00957B06" w:rsidRDefault="009D793F" w:rsidP="00AC6EF7">
            <w:pPr>
              <w:pStyle w:val="TableParagraph"/>
              <w:ind w:left="0" w:right="101"/>
              <w:rPr>
                <w:rFonts w:cs="Calibri"/>
                <w:color w:val="000000"/>
                <w:spacing w:val="-2"/>
              </w:rPr>
            </w:pPr>
            <w:r w:rsidRPr="00957B06">
              <w:rPr>
                <w:rFonts w:cs="Calibri"/>
                <w:color w:val="000000"/>
                <w:spacing w:val="-2"/>
              </w:rPr>
              <w:t>Obserwacja rynku podaży produktów i usług dedykowanych dostępności pozwala stwierdzić, że bez wątpienia wprowadzenie tych przepisów stało się</w:t>
            </w:r>
            <w:r w:rsidR="00F2634E" w:rsidRPr="00957B06">
              <w:rPr>
                <w:rFonts w:cs="Calibri"/>
                <w:color w:val="000000"/>
                <w:spacing w:val="-2"/>
              </w:rPr>
              <w:t xml:space="preserve"> pewnym </w:t>
            </w:r>
            <w:r w:rsidRPr="00957B06">
              <w:rPr>
                <w:rFonts w:cs="Calibri"/>
                <w:color w:val="000000"/>
                <w:spacing w:val="-2"/>
              </w:rPr>
              <w:t xml:space="preserve">impulsem do rozwoju rynkowej oferty produktów i usług służących poprawie dostępności. </w:t>
            </w:r>
          </w:p>
          <w:p w14:paraId="792CD486" w14:textId="3E485BFC" w:rsidR="009D793F" w:rsidRPr="00957B06" w:rsidRDefault="009D793F" w:rsidP="00AC6EF7">
            <w:pPr>
              <w:pStyle w:val="TableParagraph"/>
              <w:ind w:left="0" w:right="101"/>
              <w:jc w:val="both"/>
              <w:rPr>
                <w:rFonts w:cs="Calibri"/>
                <w:color w:val="000000"/>
                <w:spacing w:val="-2"/>
              </w:rPr>
            </w:pPr>
            <w:r w:rsidRPr="00957B06">
              <w:rPr>
                <w:rFonts w:cs="Calibri"/>
                <w:color w:val="000000"/>
                <w:spacing w:val="-2"/>
              </w:rPr>
              <w:t>Świadczy o tym m.in systematycznie wzrastająca liczba podmiotów przystępujących do Partnerstwa na rzecz dostępności</w:t>
            </w:r>
            <w:r w:rsidR="00F2634E" w:rsidRPr="00957B06">
              <w:rPr>
                <w:rFonts w:cs="Calibri"/>
                <w:color w:val="000000"/>
                <w:spacing w:val="-2"/>
              </w:rPr>
              <w:t xml:space="preserve"> – formuły dobrowolnego zrzeszenia podmiotów z różnych sektorów zwłaszcza prywatnego które chcą popularyzować i wspierać  działania ujęte w programie na rzecz dostępności. W</w:t>
            </w:r>
            <w:r w:rsidRPr="00957B06">
              <w:rPr>
                <w:rFonts w:cs="Calibri"/>
                <w:color w:val="000000"/>
                <w:spacing w:val="-2"/>
              </w:rPr>
              <w:t xml:space="preserve"> 2025</w:t>
            </w:r>
            <w:r w:rsidR="00F2634E" w:rsidRPr="00957B06">
              <w:rPr>
                <w:rFonts w:cs="Calibri"/>
                <w:color w:val="000000"/>
                <w:spacing w:val="-2"/>
              </w:rPr>
              <w:t xml:space="preserve"> r</w:t>
            </w:r>
            <w:r w:rsidR="006E091A" w:rsidRPr="00957B06">
              <w:rPr>
                <w:rFonts w:cs="Calibri"/>
                <w:color w:val="000000"/>
                <w:spacing w:val="-2"/>
              </w:rPr>
              <w:t>.</w:t>
            </w:r>
            <w:r w:rsidR="00F2634E" w:rsidRPr="00957B06">
              <w:rPr>
                <w:rFonts w:cs="Calibri"/>
                <w:color w:val="000000"/>
                <w:spacing w:val="-2"/>
              </w:rPr>
              <w:t xml:space="preserve"> </w:t>
            </w:r>
            <w:r w:rsidRPr="00957B06">
              <w:rPr>
                <w:rFonts w:cs="Calibri"/>
                <w:color w:val="000000"/>
                <w:spacing w:val="-2"/>
              </w:rPr>
              <w:t xml:space="preserve">Partnerstwo liczy ok. 300, gdy w 2019 r. liczyło 150, </w:t>
            </w:r>
            <w:r w:rsidR="00D72B2A" w:rsidRPr="00957B06">
              <w:rPr>
                <w:rFonts w:cs="Calibri"/>
                <w:color w:val="000000"/>
                <w:spacing w:val="-2"/>
              </w:rPr>
              <w:t xml:space="preserve">a rok wcześniej – 0. </w:t>
            </w:r>
            <w:r w:rsidR="00F2634E" w:rsidRPr="00957B06">
              <w:rPr>
                <w:rFonts w:cs="Calibri"/>
                <w:color w:val="000000"/>
                <w:spacing w:val="-2"/>
              </w:rPr>
              <w:t>W</w:t>
            </w:r>
            <w:r w:rsidRPr="00957B06">
              <w:rPr>
                <w:rFonts w:cs="Calibri"/>
                <w:color w:val="000000"/>
                <w:spacing w:val="-2"/>
              </w:rPr>
              <w:t>śród</w:t>
            </w:r>
            <w:r w:rsidR="00F2634E" w:rsidRPr="00957B06">
              <w:rPr>
                <w:rFonts w:cs="Calibri"/>
                <w:color w:val="000000"/>
                <w:spacing w:val="-2"/>
              </w:rPr>
              <w:t xml:space="preserve"> partnerów z</w:t>
            </w:r>
            <w:r w:rsidRPr="00957B06">
              <w:rPr>
                <w:rFonts w:cs="Calibri"/>
                <w:color w:val="000000"/>
                <w:spacing w:val="-2"/>
              </w:rPr>
              <w:t xml:space="preserve">naczącą liczbę stanowią przedsiębiorcy dostarczający na rynek coraz większą gamę produktów specjalistycznych związanych z dostępnością jak również uniwersalnych rozwiązań dla wszystkich użytkowników. </w:t>
            </w:r>
          </w:p>
          <w:p w14:paraId="47E20D91" w14:textId="4CD72540" w:rsidR="009D793F" w:rsidRPr="00957B06" w:rsidRDefault="009D793F" w:rsidP="00AC6EF7">
            <w:pPr>
              <w:pStyle w:val="TableParagraph"/>
              <w:ind w:left="0" w:right="101"/>
              <w:jc w:val="both"/>
              <w:rPr>
                <w:rFonts w:cs="Calibri"/>
                <w:color w:val="000000"/>
                <w:spacing w:val="-2"/>
              </w:rPr>
            </w:pPr>
            <w:r w:rsidRPr="00957B06">
              <w:rPr>
                <w:rFonts w:cs="Calibri"/>
                <w:color w:val="000000"/>
                <w:spacing w:val="-2"/>
              </w:rPr>
              <w:t xml:space="preserve">Wraz z wprowadzeniem w życie mechanizmu certyfikacji skierowanego do podmiotów prywatnych, ale także wobec wprowadzenia wymagań związanych z koniecznością </w:t>
            </w:r>
            <w:r w:rsidRPr="00957B06">
              <w:rPr>
                <w:rFonts w:cs="Calibri"/>
                <w:color w:val="000000"/>
                <w:spacing w:val="-2"/>
              </w:rPr>
              <w:lastRenderedPageBreak/>
              <w:t>przeprowadzanie audytów dostępności w niektórych typach projektów ze środków UE wzrosło zainteresowanie usługami audytów dostępności. Trzeba jednak zaznaczyć że sam proces certyfikacji określony w ustawie jest wymagający dla obu stron biorących w nim udział (podmiotów certyfikujących i certyfikowanych) dlatego liczba wydanych certyfikatów, rośnie ale nie w sposób oczekiwany. Od uruchomienia mechanizmu certyfikacji w 2021 r. wydano 29 certyfikatów. Certyfikaty te zostały wydane w sumie przez 6 podmiotów, spośród 29 ujętych w wykazie podmiotów certyfikujących (więcej inf. o certyfikacji w dalszej części materiału). Jednocześnie podmioty</w:t>
            </w:r>
            <w:r w:rsidR="009074D0" w:rsidRPr="00957B06">
              <w:rPr>
                <w:rFonts w:cs="Calibri"/>
                <w:color w:val="000000"/>
                <w:spacing w:val="-2"/>
              </w:rPr>
              <w:t>,</w:t>
            </w:r>
            <w:r w:rsidRPr="00957B06">
              <w:rPr>
                <w:rFonts w:cs="Calibri"/>
                <w:color w:val="000000"/>
                <w:spacing w:val="-2"/>
              </w:rPr>
              <w:t xml:space="preserve"> które do tej pory wykonujące audyty dostępności na zasadach nie uregulowanych w ustawie nadal prowadzą taką działalność, na którą popyt istnieje. Nie udało się więc osiągnąć zakładanej unifikacji stawek i zasad realizacji audytów dostępności,</w:t>
            </w:r>
            <w:r w:rsidR="00B5452B" w:rsidRPr="00957B06">
              <w:rPr>
                <w:rFonts w:cs="Calibri"/>
                <w:color w:val="000000"/>
                <w:spacing w:val="-2"/>
              </w:rPr>
              <w:t xml:space="preserve"> </w:t>
            </w:r>
            <w:r w:rsidRPr="00957B06">
              <w:rPr>
                <w:rFonts w:cs="Calibri"/>
                <w:color w:val="000000"/>
                <w:spacing w:val="-2"/>
              </w:rPr>
              <w:t xml:space="preserve">gdyż nadal na rynku działania te prowadzone są na różnych zasadach. </w:t>
            </w:r>
          </w:p>
          <w:p w14:paraId="406550E5" w14:textId="77777777" w:rsidR="00AC6EF7" w:rsidRPr="00957B06" w:rsidRDefault="009D793F" w:rsidP="00AC6EF7">
            <w:pPr>
              <w:pStyle w:val="TableParagraph"/>
              <w:ind w:left="0" w:right="101"/>
              <w:jc w:val="both"/>
              <w:rPr>
                <w:rFonts w:cs="Calibri"/>
                <w:color w:val="000000"/>
                <w:spacing w:val="-2"/>
              </w:rPr>
            </w:pPr>
            <w:r w:rsidRPr="00957B06">
              <w:rPr>
                <w:rFonts w:cs="Calibri"/>
                <w:color w:val="000000"/>
                <w:spacing w:val="-2"/>
              </w:rPr>
              <w:t>Można jednocześnie stwierdzić że rośnie także zainteresowanie podmiotów i organizacji świadczeniem tego typu usługi do ubiegania się  o wpis do rejestru prowadzonego w oparciu o art. 17 UZD. Świadczy o tym rosnąca skala zapytań od podmiotów zewnętrznych o plany Ministerstwa względem rozpisania nowego naboru na podmioty certyfikujące.</w:t>
            </w:r>
          </w:p>
          <w:p w14:paraId="5D886E0A" w14:textId="37367CFA" w:rsidR="00F2634E" w:rsidRPr="00957B06" w:rsidRDefault="009D793F" w:rsidP="00AC6EF7">
            <w:pPr>
              <w:pStyle w:val="TableParagraph"/>
              <w:ind w:left="0" w:right="101"/>
              <w:jc w:val="both"/>
              <w:rPr>
                <w:rFonts w:cs="Calibri"/>
                <w:color w:val="000000"/>
                <w:spacing w:val="-2"/>
              </w:rPr>
            </w:pPr>
            <w:r w:rsidRPr="00957B06">
              <w:rPr>
                <w:rFonts w:cs="Calibri"/>
                <w:color w:val="000000"/>
                <w:spacing w:val="-2"/>
              </w:rPr>
              <w:t>W kontekście innych  towarów i usług  związanych z zapewnianiem dostępności można stwierdzić że :</w:t>
            </w:r>
          </w:p>
          <w:p w14:paraId="094AF966" w14:textId="09DD4560" w:rsidR="009D793F" w:rsidRPr="00957B06" w:rsidRDefault="009D793F" w:rsidP="009D793F">
            <w:pPr>
              <w:pStyle w:val="TableParagraph"/>
              <w:ind w:left="107" w:right="101"/>
              <w:jc w:val="both"/>
              <w:rPr>
                <w:rFonts w:cs="Calibri"/>
                <w:color w:val="000000"/>
                <w:spacing w:val="-2"/>
              </w:rPr>
            </w:pPr>
          </w:p>
          <w:p w14:paraId="0B3D7F5D" w14:textId="00738C9F" w:rsidR="009D793F" w:rsidRPr="00957B06" w:rsidRDefault="009D793F" w:rsidP="0079742A">
            <w:pPr>
              <w:pStyle w:val="Tekstkomentarza"/>
              <w:rPr>
                <w:rFonts w:cs="Calibri"/>
                <w:color w:val="000000"/>
                <w:spacing w:val="-2"/>
                <w:sz w:val="22"/>
                <w:szCs w:val="22"/>
              </w:rPr>
            </w:pPr>
            <w:r w:rsidRPr="00957B06">
              <w:rPr>
                <w:rFonts w:cs="Calibri"/>
                <w:color w:val="000000"/>
                <w:spacing w:val="-2"/>
                <w:sz w:val="22"/>
                <w:szCs w:val="22"/>
              </w:rPr>
              <w:t xml:space="preserve">* niewystarczające okazało się zainteresowanie zaplanowanymi i wdrożonymi konkursami dla przedsiębiorców na badania i rozwój nad produktami z obszaru  dostępności oraz  ich  komercjalizację. </w:t>
            </w:r>
            <w:r w:rsidR="0079742A" w:rsidRPr="00957B06">
              <w:rPr>
                <w:rFonts w:cs="Calibri"/>
                <w:color w:val="000000"/>
                <w:spacing w:val="-2"/>
                <w:sz w:val="22"/>
                <w:szCs w:val="22"/>
              </w:rPr>
              <w:t xml:space="preserve">Znacznie większą popularnością cieszyły się natomiast konkursy na tzw. </w:t>
            </w:r>
            <w:proofErr w:type="spellStart"/>
            <w:r w:rsidR="0079742A" w:rsidRPr="00957B06">
              <w:rPr>
                <w:rFonts w:cs="Calibri"/>
                <w:color w:val="000000"/>
                <w:spacing w:val="-2"/>
                <w:sz w:val="22"/>
                <w:szCs w:val="22"/>
              </w:rPr>
              <w:t>mikroinnowacje</w:t>
            </w:r>
            <w:proofErr w:type="spellEnd"/>
            <w:r w:rsidR="0079742A" w:rsidRPr="00957B06">
              <w:rPr>
                <w:rFonts w:cs="Calibri"/>
                <w:color w:val="000000"/>
                <w:spacing w:val="-2"/>
                <w:sz w:val="22"/>
                <w:szCs w:val="22"/>
              </w:rPr>
              <w:t xml:space="preserve"> społeczne.</w:t>
            </w:r>
            <w:r w:rsidRPr="00957B06">
              <w:rPr>
                <w:rFonts w:cs="Calibri"/>
                <w:color w:val="000000"/>
                <w:spacing w:val="-2"/>
                <w:sz w:val="22"/>
                <w:szCs w:val="22"/>
              </w:rPr>
              <w:t xml:space="preserve">  </w:t>
            </w:r>
          </w:p>
          <w:p w14:paraId="3E6F7AE3" w14:textId="77777777" w:rsidR="00D43E21" w:rsidRPr="00957B06" w:rsidRDefault="00D43E21" w:rsidP="009D793F">
            <w:pPr>
              <w:pStyle w:val="TableParagraph"/>
              <w:ind w:left="107" w:right="101"/>
              <w:jc w:val="both"/>
              <w:rPr>
                <w:rFonts w:cs="Calibri"/>
                <w:color w:val="000000"/>
                <w:spacing w:val="-2"/>
              </w:rPr>
            </w:pPr>
          </w:p>
          <w:p w14:paraId="2D38FFF7" w14:textId="77777777" w:rsidR="00D43E21" w:rsidRPr="00957B06" w:rsidRDefault="004E1AC0" w:rsidP="009D793F">
            <w:pPr>
              <w:pStyle w:val="TableParagraph"/>
              <w:ind w:left="107" w:right="101"/>
              <w:jc w:val="both"/>
              <w:rPr>
                <w:rFonts w:cs="Calibri"/>
                <w:color w:val="000000"/>
                <w:spacing w:val="-2"/>
              </w:rPr>
            </w:pPr>
            <w:r w:rsidRPr="00957B06">
              <w:rPr>
                <w:rFonts w:cs="Calibri"/>
                <w:color w:val="000000"/>
                <w:spacing w:val="-2"/>
              </w:rPr>
              <w:t>* z obserwacji rynku  można stwierdzić iż liczba usług i produktów wspierających dostępność wzrasta, jednak nie są prowadzone w Polsce konkretne badania i pomiary w tym obszarze dlatego skala wzrostu jest trudna do oszacowania</w:t>
            </w:r>
            <w:r w:rsidR="00D43E21" w:rsidRPr="00957B06">
              <w:rPr>
                <w:rFonts w:cs="Calibri"/>
                <w:color w:val="000000"/>
                <w:spacing w:val="-2"/>
              </w:rPr>
              <w:t xml:space="preserve">. </w:t>
            </w:r>
            <w:r w:rsidRPr="00957B06">
              <w:rPr>
                <w:rFonts w:cs="Calibri"/>
                <w:color w:val="000000"/>
                <w:spacing w:val="-2"/>
              </w:rPr>
              <w:t xml:space="preserve"> </w:t>
            </w:r>
          </w:p>
          <w:p w14:paraId="55CA28CF" w14:textId="77777777" w:rsidR="00D43E21" w:rsidRPr="00957B06" w:rsidRDefault="00D43E21" w:rsidP="00D43E21">
            <w:pPr>
              <w:widowControl/>
              <w:autoSpaceDE/>
              <w:autoSpaceDN/>
              <w:spacing w:after="160" w:line="259" w:lineRule="auto"/>
              <w:ind w:left="107"/>
              <w:contextualSpacing/>
              <w:rPr>
                <w:rFonts w:cs="Calibri"/>
                <w:color w:val="000000"/>
                <w:spacing w:val="-2"/>
              </w:rPr>
            </w:pPr>
            <w:r w:rsidRPr="00957B06">
              <w:rPr>
                <w:rFonts w:cs="Calibri"/>
                <w:color w:val="000000"/>
                <w:spacing w:val="-2"/>
              </w:rPr>
              <w:t xml:space="preserve">Zostało pojętych wiele działań służących pobudzeniu rynku w tym obszarze ( ad 3 i 5 ) </w:t>
            </w:r>
            <w:r w:rsidRPr="00957B06">
              <w:rPr>
                <w:rFonts w:cs="Calibri"/>
                <w:color w:val="000000"/>
                <w:spacing w:val="-2"/>
              </w:rPr>
              <w:br/>
              <w:t xml:space="preserve">W latach 2019 – 2025 prawie 1 mld zł ze środków unijnych przeznaczono dla konkursy dla przedsiębiorców na badania i rozwój produktów służących poprawie dostępności. W perspektywie finansowej na lata 2014-2020 powstało 5 inkubatorów innowacji społecznych, które wspierały innowatorów w realizacji innowacyjnych pomysłów na produkty i usługi z zakresu dostępności . Inkubatory te kontynuują swoje działania w bieżącej perspektywie 2021-2027. Dzięki m.in. ich działaniu powstało wiele produktów i rozwiązań służących większej samodzielności lub wsparciu osób z niepełnosprawnościami w życiu codziennym. </w:t>
            </w:r>
          </w:p>
          <w:p w14:paraId="73EEB30C" w14:textId="58C40781" w:rsidR="00D43E21" w:rsidRPr="00957B06" w:rsidRDefault="00D43E21" w:rsidP="0005031D">
            <w:pPr>
              <w:widowControl/>
              <w:autoSpaceDE/>
              <w:autoSpaceDN/>
              <w:spacing w:after="160" w:line="259" w:lineRule="auto"/>
              <w:ind w:left="107"/>
              <w:contextualSpacing/>
              <w:rPr>
                <w:rFonts w:cs="Calibri"/>
                <w:color w:val="000000"/>
                <w:spacing w:val="-2"/>
              </w:rPr>
            </w:pPr>
            <w:r w:rsidRPr="00957B06">
              <w:rPr>
                <w:rFonts w:cs="Calibri"/>
                <w:color w:val="000000"/>
                <w:spacing w:val="-2"/>
              </w:rPr>
              <w:t xml:space="preserve">Prowadzone są także dedykowane projekty finansujące realizację projektów badawczo rozwojowych i rozwoju innowacji w obszarze   dostępności produktów i usług. Działania takie prowadzą </w:t>
            </w:r>
            <w:proofErr w:type="spellStart"/>
            <w:r w:rsidRPr="00957B06">
              <w:rPr>
                <w:rFonts w:cs="Calibri"/>
                <w:color w:val="000000"/>
                <w:spacing w:val="-2"/>
              </w:rPr>
              <w:t>NCBiR</w:t>
            </w:r>
            <w:proofErr w:type="spellEnd"/>
            <w:r w:rsidRPr="00957B06">
              <w:rPr>
                <w:rFonts w:cs="Calibri"/>
                <w:color w:val="000000"/>
                <w:spacing w:val="-2"/>
              </w:rPr>
              <w:t xml:space="preserve"> oraz PARP w projekcie „Ścieżka SMART dla dostępności” (konkursy prowadzone zarówno w latach 2019 – 20 jak i w trwającej  perspektywie finansowej UE 2021- 2027). Udzielają grantów przedsiębiorstwom na realizację badań, wdrożeń innowacji, rozwoju infrastruktury B+R, internacjonalizacji, rozwoju kompetencji pracowników - w celu poprawy dostępności ich produktów lub usług. W wyniku realizacji projektów powstać mają nowe lub zmodyfikowane produkty i innowacje wspierające samodzielność osób ze szczególnymi potrzebami. Zainteresowanie grantami  typu B+ R nie jest jednak duże. Zgłaszane pomysły </w:t>
            </w:r>
            <w:r w:rsidRPr="00957B06">
              <w:rPr>
                <w:rFonts w:cs="Calibri"/>
                <w:color w:val="000000"/>
                <w:spacing w:val="-2"/>
              </w:rPr>
              <w:lastRenderedPageBreak/>
              <w:t xml:space="preserve">często nie spełniają kryteriów projektu, bariera pozostaje umiejętność poprawnego opracowania dokumentacji a także inicjalne koszty inwestycji (wkład własny). Dlatego identyfikowana jest potrzeba dalszych działań edukacyjnych wśród przedsiębiorców pod kątem wdrażania dostępności w ich działalności. Działania szkoleniowe w tym zakresie realizuje PARP. W ramach dotychczasowych projektów blisko 5000 przedsiębiorców i ich pracowników zostało przeszkolonych z technologii poprawiających jakość życia osób ze szczególnymi potrzebami (lata 2018 – 2020). Obecnie podobne wsparcie jest  kontynuowane w konkursach „Dostępność szansą na rozwój 3” oraz „Dostępność dyrektywa EAA”. Obie inicjatywy są związane ze zwiększaniem świadomości, kompetencji i potencjału przedsiębiorców we wdrażaniu dostępnych produktów i usług. „Dostępność szansą na rozwój 3” daje możliwość nabycia ogólnej wiedzy z dostępności w biznesie i projektowania uniwersalnego. „Dostępność dyrektywa EAA” to możliwość zdobycia wiedzy i indywidualnego doradztwa w zakresie wdrażania obowiązków Polskiego Aktu o Dostępności. Przewiduje się łącznie przeszkolenie ponad 17 tyś pracowników przedsiębiorstw.  </w:t>
            </w:r>
          </w:p>
          <w:p w14:paraId="128EBDE6" w14:textId="6E6610CA" w:rsidR="004E1AC0" w:rsidRPr="00957B06" w:rsidRDefault="004E1AC0" w:rsidP="009D793F">
            <w:pPr>
              <w:pStyle w:val="TableParagraph"/>
              <w:ind w:left="107" w:right="101"/>
              <w:jc w:val="both"/>
              <w:rPr>
                <w:rFonts w:cs="Calibri"/>
                <w:color w:val="000000"/>
                <w:spacing w:val="-2"/>
              </w:rPr>
            </w:pPr>
            <w:r w:rsidRPr="00957B06">
              <w:rPr>
                <w:rFonts w:cs="Calibri"/>
                <w:color w:val="000000"/>
                <w:spacing w:val="-2"/>
              </w:rPr>
              <w:t>* zainteresowanie firm dostępnością w kontekście przewagi konkurencyjnej można uznać za umiarkowane, częściej zainteresowanie dostępnością jest pochodną obowiązywania innych regulacji lub trendów związanych z rozwojem  biznesu - takich jak ESG czy DEI</w:t>
            </w:r>
            <w:r w:rsidR="00AC6EF7" w:rsidRPr="00957B06">
              <w:rPr>
                <w:rFonts w:cs="Calibri"/>
                <w:color w:val="000000"/>
                <w:spacing w:val="-2"/>
              </w:rPr>
              <w:t>.</w:t>
            </w:r>
            <w:r w:rsidRPr="00957B06">
              <w:rPr>
                <w:rFonts w:cs="Calibri"/>
                <w:color w:val="000000"/>
                <w:spacing w:val="-2"/>
              </w:rPr>
              <w:t xml:space="preserve"> </w:t>
            </w:r>
          </w:p>
          <w:p w14:paraId="4FDD3190" w14:textId="1B24AA1E" w:rsidR="001E31CD" w:rsidRPr="00957B06" w:rsidRDefault="004E1AC0" w:rsidP="001E31CD">
            <w:pPr>
              <w:pStyle w:val="TableParagraph"/>
              <w:ind w:left="107" w:right="101"/>
              <w:jc w:val="both"/>
              <w:rPr>
                <w:rFonts w:cs="Calibri"/>
                <w:color w:val="000000"/>
                <w:spacing w:val="-2"/>
              </w:rPr>
            </w:pPr>
            <w:r w:rsidRPr="00957B06">
              <w:rPr>
                <w:rFonts w:cs="Calibri"/>
                <w:color w:val="000000"/>
                <w:spacing w:val="-2"/>
              </w:rPr>
              <w:t>O</w:t>
            </w:r>
            <w:r w:rsidR="001E31CD" w:rsidRPr="00957B06">
              <w:rPr>
                <w:rFonts w:cs="Calibri"/>
                <w:color w:val="000000"/>
                <w:spacing w:val="-2"/>
              </w:rPr>
              <w:t>dnosząc się do założonych szczegółowych skutków ekonomicznych:</w:t>
            </w:r>
          </w:p>
          <w:p w14:paraId="14DF623B" w14:textId="77777777" w:rsidR="005844E6" w:rsidRPr="00957B06" w:rsidRDefault="005844E6" w:rsidP="001E31CD">
            <w:pPr>
              <w:pStyle w:val="TableParagraph"/>
              <w:ind w:left="107" w:right="101"/>
              <w:jc w:val="both"/>
              <w:rPr>
                <w:rFonts w:cs="Calibri"/>
                <w:color w:val="000000"/>
                <w:spacing w:val="-2"/>
              </w:rPr>
            </w:pPr>
          </w:p>
          <w:p w14:paraId="6B34E75A" w14:textId="689F084E" w:rsidR="00F3283E" w:rsidRPr="00957B06" w:rsidRDefault="001E31CD" w:rsidP="003C3F42">
            <w:pPr>
              <w:pStyle w:val="TableParagraph"/>
              <w:numPr>
                <w:ilvl w:val="0"/>
                <w:numId w:val="11"/>
              </w:numPr>
              <w:ind w:right="101"/>
              <w:jc w:val="both"/>
              <w:rPr>
                <w:rFonts w:cs="Calibri"/>
                <w:color w:val="000000"/>
                <w:spacing w:val="-2"/>
              </w:rPr>
            </w:pPr>
            <w:r w:rsidRPr="00957B06">
              <w:rPr>
                <w:rFonts w:cs="Calibri"/>
                <w:color w:val="000000"/>
                <w:spacing w:val="-2"/>
              </w:rPr>
              <w:t xml:space="preserve">Ewentualny oczekiwany skutek poprawy warunków do lokowania inwestycji z zakresu dostępności również w małych miastach na terenach wiejskich jest </w:t>
            </w:r>
            <w:r w:rsidR="00001377" w:rsidRPr="00957B06">
              <w:rPr>
                <w:rFonts w:cs="Calibri"/>
                <w:color w:val="000000"/>
                <w:spacing w:val="-2"/>
              </w:rPr>
              <w:t xml:space="preserve">obecnie </w:t>
            </w:r>
            <w:r w:rsidRPr="00957B06">
              <w:rPr>
                <w:rFonts w:cs="Calibri"/>
                <w:color w:val="000000"/>
                <w:spacing w:val="-2"/>
              </w:rPr>
              <w:t>nie do oszacowania.</w:t>
            </w:r>
            <w:r w:rsidR="005844E6" w:rsidRPr="00957B06">
              <w:rPr>
                <w:rFonts w:cs="Calibri"/>
                <w:color w:val="000000"/>
                <w:spacing w:val="-2"/>
              </w:rPr>
              <w:t xml:space="preserve"> Możliwa byłaby jedynie analiza porównawcza wyników raportowania z 2021 i 2025 w odniesieniu do podmiotów zlokalizowanych w miejscowościach np. do 20 tyś mieszkańców w celu pokazania zmian w ciągu 4 lat. Analiza taka nie została przeprowadzona do dnia sporządzenia niniejsze analizy ex post OSR.  </w:t>
            </w:r>
          </w:p>
          <w:p w14:paraId="4CBDDDB3" w14:textId="77777777" w:rsidR="00001377" w:rsidRPr="00957B06" w:rsidRDefault="00001377" w:rsidP="00001377">
            <w:pPr>
              <w:pStyle w:val="TableParagraph"/>
              <w:ind w:left="467" w:right="101"/>
              <w:jc w:val="both"/>
              <w:rPr>
                <w:rFonts w:cs="Calibri"/>
                <w:color w:val="000000"/>
                <w:spacing w:val="-2"/>
              </w:rPr>
            </w:pPr>
          </w:p>
          <w:p w14:paraId="56655D7D" w14:textId="263ED839" w:rsidR="0020247D" w:rsidRPr="00957B06" w:rsidRDefault="00EC60A2" w:rsidP="003C3F42">
            <w:pPr>
              <w:pStyle w:val="TableParagraph"/>
              <w:numPr>
                <w:ilvl w:val="0"/>
                <w:numId w:val="11"/>
              </w:numPr>
              <w:ind w:right="101"/>
              <w:jc w:val="both"/>
              <w:rPr>
                <w:rFonts w:cs="Calibri"/>
                <w:color w:val="000000"/>
                <w:spacing w:val="-2"/>
              </w:rPr>
            </w:pPr>
            <w:r w:rsidRPr="00957B06">
              <w:rPr>
                <w:rFonts w:cs="Calibri"/>
                <w:color w:val="000000"/>
                <w:spacing w:val="-2"/>
              </w:rPr>
              <w:t xml:space="preserve">Biorąc pod uwagę ogólne badania cen na rynku nieruchomości i czynników wpływających na podniesienie wartości nieruchomości należy uznać, że </w:t>
            </w:r>
            <w:r w:rsidR="00EB697F" w:rsidRPr="00957B06">
              <w:rPr>
                <w:rFonts w:cs="Calibri"/>
                <w:color w:val="000000"/>
                <w:spacing w:val="-2"/>
              </w:rPr>
              <w:t>w okresie obowiązywania ustawy wartość nieruchomości generalnie zwiększyła się o</w:t>
            </w:r>
            <w:r w:rsidRPr="00957B06">
              <w:rPr>
                <w:rFonts w:cs="Calibri"/>
                <w:color w:val="000000"/>
                <w:spacing w:val="-2"/>
              </w:rPr>
              <w:t xml:space="preserve"> ok. 1</w:t>
            </w:r>
            <w:r w:rsidR="00EB697F" w:rsidRPr="00957B06">
              <w:rPr>
                <w:rFonts w:cs="Calibri"/>
                <w:color w:val="000000"/>
                <w:spacing w:val="-2"/>
              </w:rPr>
              <w:t>5</w:t>
            </w:r>
            <w:r w:rsidRPr="00957B06">
              <w:rPr>
                <w:rFonts w:cs="Calibri"/>
                <w:color w:val="000000"/>
                <w:spacing w:val="-2"/>
              </w:rPr>
              <w:t>-20%</w:t>
            </w:r>
            <w:r w:rsidR="00EB697F" w:rsidRPr="00957B06">
              <w:rPr>
                <w:rFonts w:cs="Calibri"/>
                <w:color w:val="000000"/>
                <w:spacing w:val="-2"/>
              </w:rPr>
              <w:t xml:space="preserve">, lecz nie ma jednoznacznych dowodów na to że rozwiązania z zakresu dostępności miały na to bezpośredni wpływ (wzrost dotyczył wszystkich budynków – nie tylko tych z lepszą dostępnością). </w:t>
            </w:r>
            <w:r w:rsidRPr="00957B06">
              <w:rPr>
                <w:rFonts w:cs="Calibri"/>
                <w:color w:val="000000"/>
                <w:spacing w:val="-2"/>
              </w:rPr>
              <w:t xml:space="preserve"> </w:t>
            </w:r>
            <w:r w:rsidR="00EB697F" w:rsidRPr="00957B06">
              <w:rPr>
                <w:rFonts w:cs="Calibri"/>
                <w:color w:val="000000"/>
                <w:spacing w:val="-2"/>
              </w:rPr>
              <w:t xml:space="preserve"> </w:t>
            </w:r>
          </w:p>
          <w:p w14:paraId="74CD41AD" w14:textId="77777777" w:rsidR="00001377" w:rsidRPr="00957B06" w:rsidRDefault="00001377" w:rsidP="00001377">
            <w:pPr>
              <w:pStyle w:val="TableParagraph"/>
              <w:ind w:left="467" w:right="101"/>
              <w:jc w:val="both"/>
              <w:rPr>
                <w:rFonts w:cs="Calibri"/>
                <w:color w:val="000000"/>
                <w:spacing w:val="-2"/>
              </w:rPr>
            </w:pPr>
          </w:p>
          <w:p w14:paraId="209F9D7E" w14:textId="77CB46AF" w:rsidR="001E31CD" w:rsidRPr="00957B06" w:rsidRDefault="004576FB" w:rsidP="007A7A17">
            <w:pPr>
              <w:pStyle w:val="TableParagraph"/>
              <w:ind w:left="467" w:right="101"/>
              <w:jc w:val="both"/>
              <w:rPr>
                <w:rFonts w:cs="Calibri"/>
                <w:color w:val="000000"/>
                <w:spacing w:val="-2"/>
              </w:rPr>
            </w:pPr>
            <w:r w:rsidRPr="00957B06">
              <w:rPr>
                <w:rFonts w:cs="Calibri"/>
                <w:color w:val="000000"/>
                <w:spacing w:val="-2"/>
              </w:rPr>
              <w:t xml:space="preserve">Okres od </w:t>
            </w:r>
            <w:r w:rsidR="00B4003C" w:rsidRPr="00957B06">
              <w:rPr>
                <w:rFonts w:cs="Calibri"/>
                <w:color w:val="000000"/>
                <w:spacing w:val="-2"/>
              </w:rPr>
              <w:t>uruchomienia ustawy</w:t>
            </w:r>
            <w:r w:rsidRPr="00957B06">
              <w:rPr>
                <w:rFonts w:cs="Calibri"/>
                <w:color w:val="000000"/>
                <w:spacing w:val="-2"/>
              </w:rPr>
              <w:t xml:space="preserve"> to obecnie niewiele ponad 6 lat - co należy uznać za okres relatywnie krótki. Dodatkowo </w:t>
            </w:r>
            <w:r w:rsidR="007F0209" w:rsidRPr="00957B06">
              <w:rPr>
                <w:rFonts w:cs="Calibri"/>
                <w:color w:val="000000"/>
                <w:spacing w:val="-2"/>
              </w:rPr>
              <w:t>zakres inwestycji podjętych z Funduszu Dostępności w sektorze budownictwa mieszkalnego w kontekście</w:t>
            </w:r>
            <w:r w:rsidRPr="00957B06">
              <w:rPr>
                <w:rFonts w:cs="Calibri"/>
                <w:color w:val="000000"/>
                <w:spacing w:val="-2"/>
              </w:rPr>
              <w:t xml:space="preserve"> obserwowanego zapotrzebowania</w:t>
            </w:r>
            <w:r w:rsidR="007F0209" w:rsidRPr="00957B06">
              <w:rPr>
                <w:rFonts w:cs="Calibri"/>
                <w:color w:val="000000"/>
                <w:spacing w:val="-2"/>
              </w:rPr>
              <w:t xml:space="preserve"> jest bardzo ograniczony</w:t>
            </w:r>
            <w:r w:rsidR="00EB697F" w:rsidRPr="00957B06">
              <w:rPr>
                <w:rFonts w:cs="Calibri"/>
                <w:color w:val="000000"/>
                <w:spacing w:val="-2"/>
              </w:rPr>
              <w:t xml:space="preserve"> (</w:t>
            </w:r>
            <w:r w:rsidR="00467BD3" w:rsidRPr="00957B06">
              <w:rPr>
                <w:rFonts w:cs="Calibri"/>
                <w:color w:val="000000"/>
                <w:spacing w:val="-2"/>
              </w:rPr>
              <w:t xml:space="preserve">osiągnięty </w:t>
            </w:r>
            <w:r w:rsidR="00EB697F" w:rsidRPr="00957B06">
              <w:rPr>
                <w:rFonts w:cs="Calibri"/>
                <w:color w:val="000000"/>
                <w:spacing w:val="-2"/>
              </w:rPr>
              <w:t>efekt skali – 3</w:t>
            </w:r>
            <w:r w:rsidR="006A0AFD" w:rsidRPr="00957B06">
              <w:rPr>
                <w:rFonts w:cs="Calibri"/>
                <w:color w:val="000000"/>
                <w:spacing w:val="-2"/>
              </w:rPr>
              <w:t>8</w:t>
            </w:r>
            <w:r w:rsidR="00EB697F" w:rsidRPr="00957B06">
              <w:rPr>
                <w:rFonts w:cs="Calibri"/>
                <w:color w:val="000000"/>
                <w:spacing w:val="-2"/>
              </w:rPr>
              <w:t>0 zrealizowanych inwestycji</w:t>
            </w:r>
            <w:r w:rsidR="00467BD3" w:rsidRPr="00467BD3">
              <w:rPr>
                <w:rFonts w:cs="Calibri"/>
                <w:color w:val="000000"/>
                <w:spacing w:val="-2"/>
              </w:rPr>
              <w:t xml:space="preserve">, to niewiele w </w:t>
            </w:r>
            <w:r w:rsidR="00467BD3" w:rsidRPr="00957B06">
              <w:rPr>
                <w:rFonts w:cs="Calibri"/>
                <w:color w:val="000000"/>
                <w:spacing w:val="-2"/>
              </w:rPr>
              <w:t>porównaniu do co najmniej kilkunastu tysięcy budynków mieszkalnych, wymagających instalacji dźwigu osobowego</w:t>
            </w:r>
            <w:r w:rsidR="00EB697F" w:rsidRPr="00957B06">
              <w:rPr>
                <w:rFonts w:cs="Calibri"/>
                <w:color w:val="000000"/>
                <w:spacing w:val="-2"/>
              </w:rPr>
              <w:t>)</w:t>
            </w:r>
            <w:r w:rsidRPr="00957B06">
              <w:rPr>
                <w:rFonts w:cs="Calibri"/>
                <w:color w:val="000000"/>
                <w:spacing w:val="-2"/>
              </w:rPr>
              <w:t>. Biorąc pod uwagę ww. dwa czynnik</w:t>
            </w:r>
            <w:r w:rsidR="00EB697F" w:rsidRPr="00957B06">
              <w:rPr>
                <w:rFonts w:cs="Calibri"/>
                <w:color w:val="000000"/>
                <w:spacing w:val="-2"/>
              </w:rPr>
              <w:t>i</w:t>
            </w:r>
            <w:r w:rsidRPr="00957B06">
              <w:rPr>
                <w:rFonts w:cs="Calibri"/>
                <w:color w:val="000000"/>
                <w:spacing w:val="-2"/>
              </w:rPr>
              <w:t xml:space="preserve"> </w:t>
            </w:r>
            <w:r w:rsidR="007F0209" w:rsidRPr="00957B06">
              <w:rPr>
                <w:rFonts w:cs="Calibri"/>
                <w:color w:val="000000"/>
                <w:spacing w:val="-2"/>
              </w:rPr>
              <w:t xml:space="preserve"> </w:t>
            </w:r>
            <w:r w:rsidR="00B4003C" w:rsidRPr="00957B06">
              <w:rPr>
                <w:rFonts w:cs="Calibri"/>
                <w:color w:val="000000"/>
                <w:spacing w:val="-2"/>
              </w:rPr>
              <w:t>na tym etapie dokonani</w:t>
            </w:r>
            <w:r w:rsidR="00EB697F" w:rsidRPr="00957B06">
              <w:rPr>
                <w:rFonts w:cs="Calibri"/>
                <w:color w:val="000000"/>
                <w:spacing w:val="-2"/>
              </w:rPr>
              <w:t>e</w:t>
            </w:r>
            <w:r w:rsidR="00B4003C" w:rsidRPr="00957B06">
              <w:rPr>
                <w:rFonts w:cs="Calibri"/>
                <w:color w:val="000000"/>
                <w:spacing w:val="-2"/>
              </w:rPr>
              <w:t xml:space="preserve"> rzetelnej oceny w </w:t>
            </w:r>
            <w:r w:rsidRPr="00957B06">
              <w:rPr>
                <w:rFonts w:cs="Calibri"/>
                <w:color w:val="000000"/>
                <w:spacing w:val="-2"/>
              </w:rPr>
              <w:t>z</w:t>
            </w:r>
            <w:r w:rsidR="00B4003C" w:rsidRPr="00957B06">
              <w:rPr>
                <w:rFonts w:cs="Calibri"/>
                <w:color w:val="000000"/>
                <w:spacing w:val="-2"/>
              </w:rPr>
              <w:t>akresie</w:t>
            </w:r>
            <w:r w:rsidRPr="00957B06">
              <w:rPr>
                <w:rFonts w:cs="Calibri"/>
                <w:color w:val="000000"/>
                <w:spacing w:val="-2"/>
              </w:rPr>
              <w:t xml:space="preserve"> możliwych skutków wdrażania ustawy dla </w:t>
            </w:r>
            <w:r w:rsidRPr="00957B06">
              <w:rPr>
                <w:rFonts w:cs="Calibri"/>
              </w:rPr>
              <w:t>oszczędnoś</w:t>
            </w:r>
            <w:r w:rsidR="00EB697F" w:rsidRPr="00957B06">
              <w:rPr>
                <w:rFonts w:cs="Calibri"/>
              </w:rPr>
              <w:t>ci</w:t>
            </w:r>
            <w:r w:rsidRPr="00957B06">
              <w:rPr>
                <w:rFonts w:cs="Calibri"/>
              </w:rPr>
              <w:t xml:space="preserve"> środków z budżetu państwa wynikających z wydłużenia okresu samodzielnego funkcjonowania osób ze szczególnymi potrzebami w lokalnej społeczności </w:t>
            </w:r>
            <w:r w:rsidR="00EB697F" w:rsidRPr="00957B06">
              <w:rPr>
                <w:rFonts w:cs="Calibri"/>
              </w:rPr>
              <w:t xml:space="preserve">- </w:t>
            </w:r>
            <w:r w:rsidR="007F0209" w:rsidRPr="00957B06">
              <w:rPr>
                <w:rFonts w:cs="Calibri"/>
                <w:color w:val="000000"/>
                <w:spacing w:val="-2"/>
              </w:rPr>
              <w:t>jest niemożliwe</w:t>
            </w:r>
            <w:r w:rsidR="00B4003C" w:rsidRPr="00957B06">
              <w:rPr>
                <w:rFonts w:cs="Calibri"/>
                <w:color w:val="000000"/>
                <w:spacing w:val="-2"/>
              </w:rPr>
              <w:t xml:space="preserve">. </w:t>
            </w:r>
            <w:r w:rsidR="00B4003C" w:rsidRPr="00957B06">
              <w:rPr>
                <w:rFonts w:cs="Calibri"/>
                <w:color w:val="000000"/>
                <w:spacing w:val="-2"/>
              </w:rPr>
              <w:lastRenderedPageBreak/>
              <w:t xml:space="preserve">Zmiany długofalowe będą mogły być ocenione w dłuższej perspektywie. </w:t>
            </w:r>
          </w:p>
          <w:p w14:paraId="0D4EE100" w14:textId="261A86A8" w:rsidR="00602282" w:rsidRPr="00957B06" w:rsidRDefault="00602282" w:rsidP="00602282">
            <w:pPr>
              <w:pStyle w:val="TableParagraph"/>
              <w:ind w:left="467" w:right="101"/>
              <w:jc w:val="both"/>
              <w:rPr>
                <w:rFonts w:cs="Calibri"/>
                <w:color w:val="000000"/>
                <w:spacing w:val="-2"/>
              </w:rPr>
            </w:pPr>
          </w:p>
          <w:p w14:paraId="1FC31564" w14:textId="34EDBC05" w:rsidR="00E862AA" w:rsidRPr="00957B06" w:rsidRDefault="00602282" w:rsidP="007A7A17">
            <w:pPr>
              <w:pStyle w:val="TableParagraph"/>
              <w:numPr>
                <w:ilvl w:val="0"/>
                <w:numId w:val="11"/>
              </w:numPr>
              <w:ind w:right="101"/>
              <w:jc w:val="both"/>
              <w:rPr>
                <w:rFonts w:cs="Calibri"/>
                <w:color w:val="000000"/>
                <w:spacing w:val="-2"/>
              </w:rPr>
            </w:pPr>
            <w:r w:rsidRPr="00957B06">
              <w:rPr>
                <w:rFonts w:cs="Calibri"/>
                <w:color w:val="000000"/>
                <w:spacing w:val="-2"/>
              </w:rPr>
              <w:t xml:space="preserve">Na przestrzeni lat wdrażania ustawy i narzędzi sprzyjających promocji dostępności w sferze rynkowej, rośnie zainteresowanie </w:t>
            </w:r>
            <w:r w:rsidR="00DB7F82" w:rsidRPr="00957B06">
              <w:rPr>
                <w:rFonts w:cs="Calibri"/>
                <w:color w:val="000000"/>
                <w:spacing w:val="-2"/>
              </w:rPr>
              <w:t xml:space="preserve">biznesu </w:t>
            </w:r>
            <w:r w:rsidRPr="00957B06">
              <w:rPr>
                <w:rFonts w:cs="Calibri"/>
                <w:color w:val="000000"/>
                <w:spacing w:val="-2"/>
              </w:rPr>
              <w:t xml:space="preserve">współpracą, wymianą wiedzy i doświadczeń z wdrażania dostępności produktów, usług, rozwiązań rynkowych celem inspirowania się i rozwoju własnego </w:t>
            </w:r>
            <w:r w:rsidR="00DB7F82" w:rsidRPr="00957B06">
              <w:rPr>
                <w:rFonts w:cs="Calibri"/>
                <w:color w:val="000000"/>
                <w:spacing w:val="-2"/>
              </w:rPr>
              <w:t>przedsiębiorstwa</w:t>
            </w:r>
            <w:r w:rsidR="004576FB" w:rsidRPr="00957B06">
              <w:rPr>
                <w:rFonts w:cs="Calibri"/>
                <w:color w:val="000000"/>
                <w:spacing w:val="-2"/>
              </w:rPr>
              <w:t xml:space="preserve"> (jak wspomniano powyżej systematycznie wzrasta liczba podmiotów przystępujących  do Partnerstwa na rzecz dostępności)</w:t>
            </w:r>
            <w:r w:rsidRPr="00957B06">
              <w:rPr>
                <w:rFonts w:cs="Calibri"/>
                <w:color w:val="000000"/>
                <w:spacing w:val="-2"/>
              </w:rPr>
              <w:t>.</w:t>
            </w:r>
            <w:r w:rsidR="007F0209" w:rsidRPr="00957B06">
              <w:rPr>
                <w:rFonts w:cs="Calibri"/>
                <w:color w:val="000000"/>
                <w:spacing w:val="-2"/>
              </w:rPr>
              <w:t xml:space="preserve"> Zgodnie z założeniami</w:t>
            </w:r>
            <w:r w:rsidR="006253C1" w:rsidRPr="00957B06">
              <w:rPr>
                <w:rFonts w:cs="Calibri"/>
                <w:color w:val="000000"/>
                <w:spacing w:val="-2"/>
              </w:rPr>
              <w:t>,</w:t>
            </w:r>
            <w:r w:rsidR="007F0209" w:rsidRPr="00957B06">
              <w:rPr>
                <w:rFonts w:cs="Calibri"/>
                <w:color w:val="000000"/>
                <w:spacing w:val="-2"/>
              </w:rPr>
              <w:t xml:space="preserve"> UZD </w:t>
            </w:r>
            <w:r w:rsidR="004576FB" w:rsidRPr="00957B06">
              <w:rPr>
                <w:rFonts w:cs="Calibri"/>
                <w:color w:val="000000"/>
                <w:spacing w:val="-2"/>
              </w:rPr>
              <w:t>przygotował</w:t>
            </w:r>
            <w:r w:rsidR="006253C1" w:rsidRPr="00957B06">
              <w:rPr>
                <w:rFonts w:cs="Calibri"/>
                <w:color w:val="000000"/>
                <w:spacing w:val="-2"/>
              </w:rPr>
              <w:t>a</w:t>
            </w:r>
            <w:r w:rsidR="007F0209" w:rsidRPr="00957B06">
              <w:rPr>
                <w:rFonts w:cs="Calibri"/>
                <w:color w:val="000000"/>
                <w:spacing w:val="-2"/>
              </w:rPr>
              <w:t xml:space="preserve"> </w:t>
            </w:r>
            <w:r w:rsidR="00D526B6" w:rsidRPr="00957B06">
              <w:rPr>
                <w:rFonts w:cs="Calibri"/>
                <w:color w:val="000000"/>
                <w:spacing w:val="-2"/>
              </w:rPr>
              <w:t>drogę dla przyjętej w</w:t>
            </w:r>
            <w:r w:rsidR="007F0209" w:rsidRPr="00957B06">
              <w:rPr>
                <w:rFonts w:cs="Calibri"/>
                <w:color w:val="000000"/>
                <w:spacing w:val="-2"/>
              </w:rPr>
              <w:t xml:space="preserve"> 2024 nowe</w:t>
            </w:r>
            <w:r w:rsidR="00D526B6" w:rsidRPr="00957B06">
              <w:rPr>
                <w:rFonts w:cs="Calibri"/>
                <w:color w:val="000000"/>
                <w:spacing w:val="-2"/>
              </w:rPr>
              <w:t>j  regulacji</w:t>
            </w:r>
            <w:r w:rsidR="006253C1" w:rsidRPr="00957B06">
              <w:rPr>
                <w:rFonts w:cs="Calibri"/>
                <w:color w:val="000000"/>
                <w:spacing w:val="-2"/>
              </w:rPr>
              <w:t xml:space="preserve"> z zakresu dostępności</w:t>
            </w:r>
            <w:r w:rsidR="00D526B6" w:rsidRPr="00957B06">
              <w:rPr>
                <w:rFonts w:cs="Calibri"/>
                <w:color w:val="000000"/>
                <w:spacing w:val="-2"/>
              </w:rPr>
              <w:t xml:space="preserve">. Od tego momentu możemy mówić o coraz bardziej  intensywnymi zainteresowaniu tematyką </w:t>
            </w:r>
            <w:r w:rsidR="006253C1" w:rsidRPr="00957B06">
              <w:rPr>
                <w:rFonts w:cs="Calibri"/>
                <w:color w:val="000000"/>
                <w:spacing w:val="-2"/>
              </w:rPr>
              <w:t xml:space="preserve">dostępności przez </w:t>
            </w:r>
            <w:r w:rsidR="00D526B6" w:rsidRPr="00957B06">
              <w:rPr>
                <w:rFonts w:cs="Calibri"/>
                <w:color w:val="000000"/>
                <w:spacing w:val="-2"/>
              </w:rPr>
              <w:t>firm</w:t>
            </w:r>
            <w:r w:rsidR="006253C1" w:rsidRPr="00957B06">
              <w:rPr>
                <w:rFonts w:cs="Calibri"/>
                <w:color w:val="000000"/>
                <w:spacing w:val="-2"/>
              </w:rPr>
              <w:t>y</w:t>
            </w:r>
            <w:r w:rsidR="00D526B6" w:rsidRPr="00957B06">
              <w:rPr>
                <w:rFonts w:cs="Calibri"/>
                <w:color w:val="000000"/>
                <w:spacing w:val="-2"/>
              </w:rPr>
              <w:t xml:space="preserve">. </w:t>
            </w:r>
            <w:r w:rsidR="00BA2B23" w:rsidRPr="00957B06">
              <w:rPr>
                <w:rFonts w:cs="Calibri"/>
                <w:color w:val="000000"/>
                <w:spacing w:val="-2"/>
              </w:rPr>
              <w:t xml:space="preserve">Klaruje się </w:t>
            </w:r>
            <w:r w:rsidR="00D526B6" w:rsidRPr="00957B06">
              <w:rPr>
                <w:rFonts w:cs="Calibri"/>
                <w:color w:val="000000"/>
                <w:spacing w:val="-2"/>
              </w:rPr>
              <w:t xml:space="preserve">także </w:t>
            </w:r>
            <w:r w:rsidR="00BA2B23" w:rsidRPr="00957B06">
              <w:rPr>
                <w:rFonts w:cs="Calibri"/>
                <w:color w:val="000000"/>
                <w:spacing w:val="-2"/>
              </w:rPr>
              <w:t>na rynku grupa podmiotów gospodarczych, które dostrzegają szansę w dostępności i rozwijają swoje produkty (PJM, pętle indukcyjne</w:t>
            </w:r>
            <w:r w:rsidR="00D526B6" w:rsidRPr="00957B06">
              <w:rPr>
                <w:rFonts w:cs="Calibri"/>
                <w:color w:val="000000"/>
                <w:spacing w:val="-2"/>
              </w:rPr>
              <w:t>, rozwiązania wspierające komunikację alternatywną</w:t>
            </w:r>
            <w:r w:rsidR="00BA2B23" w:rsidRPr="00957B06">
              <w:rPr>
                <w:rFonts w:cs="Calibri"/>
                <w:color w:val="000000"/>
                <w:spacing w:val="-2"/>
              </w:rPr>
              <w:t xml:space="preserve"> itd.).</w:t>
            </w:r>
          </w:p>
          <w:p w14:paraId="3A2EE929" w14:textId="34B3AEAD" w:rsidR="00001377" w:rsidRPr="00957B06" w:rsidRDefault="00001377" w:rsidP="00001377">
            <w:pPr>
              <w:pStyle w:val="TableParagraph"/>
              <w:ind w:left="467" w:right="101"/>
              <w:jc w:val="both"/>
              <w:rPr>
                <w:rFonts w:cs="Calibri"/>
                <w:color w:val="000000"/>
                <w:spacing w:val="-2"/>
              </w:rPr>
            </w:pPr>
          </w:p>
          <w:p w14:paraId="2C667144" w14:textId="0D636760" w:rsidR="00E862AA" w:rsidRPr="00957B06" w:rsidRDefault="00E862AA" w:rsidP="007A7A17">
            <w:pPr>
              <w:pStyle w:val="TableParagraph"/>
              <w:numPr>
                <w:ilvl w:val="0"/>
                <w:numId w:val="11"/>
              </w:numPr>
              <w:ind w:right="101"/>
              <w:jc w:val="both"/>
              <w:rPr>
                <w:rFonts w:cs="Calibri"/>
                <w:color w:val="000000"/>
                <w:spacing w:val="-2"/>
              </w:rPr>
            </w:pPr>
            <w:r w:rsidRPr="00957B06">
              <w:rPr>
                <w:rFonts w:cs="Calibri"/>
                <w:color w:val="000000"/>
                <w:spacing w:val="-2"/>
              </w:rPr>
              <w:t>Pomimo spadku stopy bezrobocia na przestrzeni lat wdrażania ustaw</w:t>
            </w:r>
            <w:r w:rsidR="00EB697F" w:rsidRPr="00957B06">
              <w:rPr>
                <w:rFonts w:cs="Calibri"/>
                <w:color w:val="000000"/>
                <w:spacing w:val="-2"/>
              </w:rPr>
              <w:t>y</w:t>
            </w:r>
            <w:r w:rsidRPr="00957B06">
              <w:rPr>
                <w:rFonts w:cs="Calibri"/>
                <w:color w:val="000000"/>
                <w:spacing w:val="-2"/>
              </w:rPr>
              <w:t xml:space="preserve">, dane te nie są zadowalające. Należy przyjąć, że zlikwidowano szereg barier w dostępie do rynku pracy. Oprócz wyraźnych zachęt </w:t>
            </w:r>
            <w:r w:rsidR="00A7638A" w:rsidRPr="00957B06">
              <w:rPr>
                <w:rFonts w:cs="Calibri"/>
                <w:color w:val="000000"/>
                <w:spacing w:val="-2"/>
              </w:rPr>
              <w:t xml:space="preserve">finansowych </w:t>
            </w:r>
            <w:r w:rsidRPr="00957B06">
              <w:rPr>
                <w:rFonts w:cs="Calibri"/>
                <w:color w:val="000000"/>
                <w:spacing w:val="-2"/>
              </w:rPr>
              <w:t xml:space="preserve">dotyczących dopłaty do wynagrodzenia, przedsiębiorcy mogą skorzystać również ze wsparcia na dostosowanie lub doposażenie stanowiska pracy pracownika z niepełnosprawności uwzględniając jego szczególne potrzeby. </w:t>
            </w:r>
            <w:r w:rsidR="00047271" w:rsidRPr="00957B06">
              <w:rPr>
                <w:rFonts w:cs="Calibri"/>
                <w:color w:val="000000"/>
                <w:spacing w:val="-2"/>
              </w:rPr>
              <w:t>Realizowane były także projekty wspierające zatrudnianie osób z niepełnosprawnościami. W administracji publicznej realizowany jest projekt „Stabilne zatrudnienie”</w:t>
            </w:r>
            <w:r w:rsidR="00EB697F" w:rsidRPr="00957B06">
              <w:rPr>
                <w:rFonts w:cs="Calibri"/>
                <w:color w:val="000000"/>
                <w:spacing w:val="-2"/>
              </w:rPr>
              <w:t xml:space="preserve">. Jednak należy pamiętać że są to działania poboczne z pkt widzenia celów ustawy, gdyż jej przepisy nigdy nie były ukierunkowane bezpośrednio na poprawę sytuacji na tynku pracy. </w:t>
            </w:r>
          </w:p>
          <w:p w14:paraId="39817CB5" w14:textId="4BE89CAD" w:rsidR="00EB697F" w:rsidRPr="00957B06" w:rsidRDefault="0030385A" w:rsidP="00EB697F">
            <w:pPr>
              <w:pStyle w:val="TableParagraph"/>
              <w:ind w:left="0" w:right="101"/>
              <w:jc w:val="both"/>
              <w:rPr>
                <w:rFonts w:cs="Calibri"/>
                <w:color w:val="000000"/>
                <w:spacing w:val="-2"/>
              </w:rPr>
            </w:pPr>
            <w:r w:rsidRPr="00957B06">
              <w:rPr>
                <w:rFonts w:cs="Calibri"/>
                <w:color w:val="000000"/>
                <w:spacing w:val="-2"/>
              </w:rPr>
              <w:t xml:space="preserve"> </w:t>
            </w:r>
          </w:p>
          <w:p w14:paraId="73F84339" w14:textId="4B80A77C" w:rsidR="00D9212C" w:rsidRPr="00957B06" w:rsidRDefault="00C22CB4" w:rsidP="00957B06">
            <w:pPr>
              <w:pStyle w:val="TableParagraph"/>
              <w:numPr>
                <w:ilvl w:val="0"/>
                <w:numId w:val="11"/>
              </w:numPr>
              <w:ind w:right="101"/>
              <w:jc w:val="both"/>
              <w:rPr>
                <w:rFonts w:cs="Calibri"/>
                <w:color w:val="000000"/>
                <w:spacing w:val="-2"/>
              </w:rPr>
            </w:pPr>
            <w:r w:rsidRPr="00957B06">
              <w:rPr>
                <w:rFonts w:cs="Calibri"/>
                <w:color w:val="000000"/>
                <w:spacing w:val="-2"/>
              </w:rPr>
              <w:t xml:space="preserve">Na potrzeby pobudzenia innowacji produktowych na rzecz dostępności uruchomiono instrumenty wsparcia sprzyjające większej aktywności przedsiębiorców na rzecz B+R </w:t>
            </w:r>
            <w:r w:rsidR="00350417" w:rsidRPr="00957B06">
              <w:rPr>
                <w:rFonts w:cs="Calibri"/>
                <w:color w:val="000000"/>
                <w:spacing w:val="-2"/>
              </w:rPr>
              <w:t>dla dostępności</w:t>
            </w:r>
            <w:r w:rsidR="0030385A" w:rsidRPr="00957B06">
              <w:rPr>
                <w:rFonts w:cs="Calibri"/>
                <w:color w:val="000000"/>
                <w:spacing w:val="-2"/>
              </w:rPr>
              <w:t>,</w:t>
            </w:r>
            <w:r w:rsidR="00C814B8" w:rsidRPr="00957B06">
              <w:rPr>
                <w:rFonts w:cs="Calibri"/>
                <w:color w:val="000000"/>
                <w:spacing w:val="-2"/>
              </w:rPr>
              <w:t xml:space="preserve">  o  których mowa powyżej w części ogólnej opisu  skutków ekonomicznych. </w:t>
            </w:r>
            <w:r w:rsidR="0030385A" w:rsidRPr="00957B06">
              <w:rPr>
                <w:rFonts w:cs="Calibri"/>
                <w:color w:val="000000"/>
                <w:spacing w:val="-2"/>
              </w:rPr>
              <w:t>P</w:t>
            </w:r>
            <w:r w:rsidR="00C814B8" w:rsidRPr="00957B06">
              <w:rPr>
                <w:rFonts w:cs="Calibri"/>
                <w:color w:val="000000"/>
                <w:spacing w:val="-2"/>
              </w:rPr>
              <w:t xml:space="preserve">owstały także </w:t>
            </w:r>
            <w:r w:rsidR="0030385A" w:rsidRPr="00957B06">
              <w:rPr>
                <w:rFonts w:cs="Calibri"/>
                <w:color w:val="000000"/>
                <w:spacing w:val="-2"/>
              </w:rPr>
              <w:t xml:space="preserve">13 </w:t>
            </w:r>
            <w:r w:rsidR="00C814B8" w:rsidRPr="00957B06">
              <w:rPr>
                <w:rFonts w:cs="Calibri"/>
                <w:color w:val="000000"/>
                <w:spacing w:val="-2"/>
              </w:rPr>
              <w:t xml:space="preserve">akademickie </w:t>
            </w:r>
            <w:r w:rsidR="00A51CA6" w:rsidRPr="00957B06">
              <w:rPr>
                <w:rFonts w:cs="Calibri"/>
                <w:color w:val="000000"/>
                <w:spacing w:val="-2"/>
              </w:rPr>
              <w:t>„Centra wiedzy o dostępności”</w:t>
            </w:r>
            <w:r w:rsidR="00C814B8" w:rsidRPr="00957B06">
              <w:rPr>
                <w:rFonts w:cs="Calibri"/>
                <w:color w:val="000000"/>
                <w:spacing w:val="-2"/>
              </w:rPr>
              <w:t xml:space="preserve"> (CWOD)  które </w:t>
            </w:r>
            <w:r w:rsidR="00350417" w:rsidRPr="00957B06">
              <w:rPr>
                <w:rFonts w:cs="Calibri"/>
                <w:color w:val="000000"/>
                <w:spacing w:val="-2"/>
              </w:rPr>
              <w:t xml:space="preserve"> mają za zadanie wspierać otoczenie </w:t>
            </w:r>
            <w:r w:rsidR="0030385A" w:rsidRPr="00957B06">
              <w:rPr>
                <w:rFonts w:cs="Calibri"/>
                <w:color w:val="000000"/>
                <w:spacing w:val="-2"/>
              </w:rPr>
              <w:t xml:space="preserve">gospodarcze </w:t>
            </w:r>
            <w:r w:rsidR="00350417" w:rsidRPr="00957B06">
              <w:rPr>
                <w:rFonts w:cs="Calibri"/>
                <w:color w:val="000000"/>
                <w:spacing w:val="-2"/>
              </w:rPr>
              <w:t xml:space="preserve">w rozwoju dostępności. </w:t>
            </w:r>
          </w:p>
          <w:p w14:paraId="461F9BAE" w14:textId="40426C71" w:rsidR="00E862AA" w:rsidRPr="00957B06" w:rsidRDefault="00094E8F" w:rsidP="0030385A">
            <w:pPr>
              <w:pStyle w:val="Akapitzlist"/>
              <w:numPr>
                <w:ilvl w:val="0"/>
                <w:numId w:val="11"/>
              </w:numPr>
              <w:spacing w:before="120" w:after="120"/>
              <w:textAlignment w:val="baseline"/>
              <w:rPr>
                <w:rFonts w:cs="Calibri"/>
                <w:color w:val="000000"/>
                <w:spacing w:val="-2"/>
              </w:rPr>
            </w:pPr>
            <w:r w:rsidRPr="00957B06">
              <w:rPr>
                <w:rFonts w:cs="Calibri"/>
                <w:color w:val="000000"/>
                <w:spacing w:val="-2"/>
              </w:rPr>
              <w:t xml:space="preserve">Wymagania </w:t>
            </w:r>
            <w:r w:rsidR="0030385A" w:rsidRPr="00957B06">
              <w:rPr>
                <w:rFonts w:cs="Calibri"/>
                <w:color w:val="000000"/>
                <w:spacing w:val="-2"/>
              </w:rPr>
              <w:t>o</w:t>
            </w:r>
            <w:r w:rsidRPr="00957B06">
              <w:rPr>
                <w:rFonts w:cs="Calibri"/>
                <w:color w:val="000000"/>
                <w:spacing w:val="-2"/>
              </w:rPr>
              <w:t>kreślone w ustawie wpłynęły na zwiększenie popytu ze strony podmiotów publicznych na doradztwo i eksperckie wsparcie w zakresie wdrożenia obowiązków ustawy i zapewnienia dostępności usług publicznych. W latach 2021 – 2023 realizowany był projekt „Ośrodek Wsparcia Architektury Dostępnej”</w:t>
            </w:r>
            <w:r w:rsidR="0030385A" w:rsidRPr="00957B06">
              <w:rPr>
                <w:rFonts w:cs="Calibri"/>
                <w:color w:val="000000"/>
                <w:spacing w:val="-2"/>
              </w:rPr>
              <w:t>,</w:t>
            </w:r>
            <w:r w:rsidRPr="00957B06">
              <w:rPr>
                <w:rFonts w:cs="Calibri"/>
                <w:color w:val="000000"/>
                <w:spacing w:val="-2"/>
              </w:rPr>
              <w:t xml:space="preserve"> który świadczył usługi audytu i doradztwa na rzecz podmiotów publicznych, wskazanych w art. 3 UZD. </w:t>
            </w:r>
            <w:r w:rsidR="0022730B" w:rsidRPr="00957B06">
              <w:rPr>
                <w:rFonts w:cs="Calibri"/>
                <w:color w:val="000000"/>
                <w:spacing w:val="-2"/>
              </w:rPr>
              <w:t>D</w:t>
            </w:r>
            <w:r w:rsidR="00AF43F7" w:rsidRPr="00957B06">
              <w:rPr>
                <w:rFonts w:cs="Calibri"/>
                <w:color w:val="000000"/>
                <w:spacing w:val="-2"/>
              </w:rPr>
              <w:t xml:space="preserve">ostrzeżono potrzebę zmian w </w:t>
            </w:r>
            <w:r w:rsidR="0022730B" w:rsidRPr="00957B06">
              <w:rPr>
                <w:rFonts w:cs="Calibri"/>
                <w:color w:val="000000"/>
                <w:spacing w:val="-2"/>
              </w:rPr>
              <w:t xml:space="preserve">zakresie uniwersalnego projektowania w </w:t>
            </w:r>
            <w:r w:rsidR="00AF43F7" w:rsidRPr="00957B06">
              <w:rPr>
                <w:rFonts w:cs="Calibri"/>
                <w:color w:val="000000"/>
                <w:spacing w:val="-2"/>
              </w:rPr>
              <w:t>budownictwie</w:t>
            </w:r>
            <w:r w:rsidR="0022730B" w:rsidRPr="00957B06">
              <w:rPr>
                <w:rFonts w:cs="Calibri"/>
                <w:color w:val="000000"/>
                <w:spacing w:val="-2"/>
              </w:rPr>
              <w:t xml:space="preserve">, </w:t>
            </w:r>
            <w:r w:rsidR="00AB5327" w:rsidRPr="00957B06">
              <w:rPr>
                <w:rFonts w:cs="Calibri"/>
                <w:color w:val="000000"/>
                <w:spacing w:val="-2"/>
              </w:rPr>
              <w:t>tak by realizowane inwestycje uwzględniały potrzeby dotyczące zapewnienia dostępności realizowanej inwestycji budowlanej. Przygotowano założenia rozwiązania systemowego polegającego na powołaniu tzw. Inspektoratu Dostępności.</w:t>
            </w:r>
            <w:r w:rsidR="00001377" w:rsidRPr="00957B06">
              <w:rPr>
                <w:rFonts w:cs="Calibri"/>
                <w:color w:val="000000"/>
                <w:spacing w:val="-2"/>
              </w:rPr>
              <w:t xml:space="preserve"> Jednak z</w:t>
            </w:r>
            <w:r w:rsidR="009E5CA9" w:rsidRPr="00957B06">
              <w:rPr>
                <w:rFonts w:cs="Calibri"/>
                <w:color w:val="000000"/>
                <w:spacing w:val="-2"/>
              </w:rPr>
              <w:t>e względu na złożoność procesu architektoniczno-budowlanego,</w:t>
            </w:r>
            <w:r w:rsidR="00EC2057" w:rsidRPr="00957B06">
              <w:rPr>
                <w:rFonts w:cs="Calibri"/>
                <w:color w:val="000000"/>
                <w:spacing w:val="-2"/>
              </w:rPr>
              <w:t xml:space="preserve"> </w:t>
            </w:r>
            <w:r w:rsidR="009E5CA9" w:rsidRPr="00957B06">
              <w:rPr>
                <w:rFonts w:cs="Calibri"/>
                <w:color w:val="000000"/>
                <w:spacing w:val="-2"/>
              </w:rPr>
              <w:t xml:space="preserve">współzależności poszczególnych procedur, w tym kwestie potwierdzenia kompetencji </w:t>
            </w:r>
            <w:r w:rsidR="00001377" w:rsidRPr="00957B06">
              <w:rPr>
                <w:rFonts w:cs="Calibri"/>
                <w:color w:val="000000"/>
                <w:spacing w:val="-2"/>
              </w:rPr>
              <w:t xml:space="preserve">– do chwili obecnej </w:t>
            </w:r>
            <w:r w:rsidR="009E5CA9" w:rsidRPr="00957B06">
              <w:rPr>
                <w:rFonts w:cs="Calibri"/>
                <w:color w:val="000000"/>
                <w:spacing w:val="-2"/>
              </w:rPr>
              <w:t xml:space="preserve">nie udało się osiągnąć porozumienia co do </w:t>
            </w:r>
            <w:r w:rsidR="00001377" w:rsidRPr="00957B06">
              <w:rPr>
                <w:rFonts w:cs="Calibri"/>
                <w:color w:val="000000"/>
                <w:spacing w:val="-2"/>
              </w:rPr>
              <w:t xml:space="preserve">wdrożenia takiego narzędzia, co z </w:t>
            </w:r>
            <w:r w:rsidR="00D34D1D" w:rsidRPr="00957B06">
              <w:rPr>
                <w:rFonts w:cs="Calibri"/>
                <w:color w:val="000000"/>
                <w:spacing w:val="-2"/>
              </w:rPr>
              <w:t>pewnością</w:t>
            </w:r>
            <w:r w:rsidR="00001377" w:rsidRPr="00957B06">
              <w:rPr>
                <w:rFonts w:cs="Calibri"/>
                <w:color w:val="000000"/>
                <w:spacing w:val="-2"/>
              </w:rPr>
              <w:t xml:space="preserve"> byłoby korzystne dla realizacji przepisów </w:t>
            </w:r>
            <w:r w:rsidR="00001377" w:rsidRPr="00957B06">
              <w:rPr>
                <w:rFonts w:cs="Calibri"/>
                <w:color w:val="000000"/>
                <w:spacing w:val="-2"/>
              </w:rPr>
              <w:lastRenderedPageBreak/>
              <w:t>ustawowych.</w:t>
            </w:r>
          </w:p>
        </w:tc>
      </w:tr>
    </w:tbl>
    <w:p w14:paraId="4783FD33" w14:textId="77777777" w:rsidR="009C15F8" w:rsidRPr="00957B06" w:rsidRDefault="009C15F8">
      <w:pPr>
        <w:spacing w:line="250" w:lineRule="atLeast"/>
        <w:jc w:val="both"/>
        <w:sectPr w:rsidR="009C15F8" w:rsidRPr="00957B06">
          <w:pgSz w:w="11910" w:h="16840"/>
          <w:pgMar w:top="520" w:right="300" w:bottom="280" w:left="320" w:header="708" w:footer="708" w:gutter="0"/>
          <w:cols w:space="708"/>
        </w:sectPr>
      </w:pPr>
    </w:p>
    <w:p w14:paraId="7F653438" w14:textId="0844BF01" w:rsidR="009C15F8" w:rsidRPr="00467BD3" w:rsidRDefault="009C15F8" w:rsidP="00E452CE">
      <w:pPr>
        <w:pStyle w:val="Tekstpodstawowy"/>
        <w:spacing w:before="80"/>
        <w:jc w:val="both"/>
        <w:rPr>
          <w:sz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3"/>
        <w:gridCol w:w="5934"/>
      </w:tblGrid>
      <w:tr w:rsidR="009C15F8" w:rsidRPr="00957B06" w14:paraId="4D0AFFAB" w14:textId="77777777">
        <w:trPr>
          <w:trHeight w:val="505"/>
        </w:trPr>
        <w:tc>
          <w:tcPr>
            <w:tcW w:w="5123" w:type="dxa"/>
            <w:shd w:val="clear" w:color="auto" w:fill="53A824"/>
          </w:tcPr>
          <w:p w14:paraId="643AAC48" w14:textId="235804E2" w:rsidR="009C15F8" w:rsidRPr="00957B06" w:rsidRDefault="00E06656">
            <w:pPr>
              <w:pStyle w:val="TableParagraph"/>
              <w:spacing w:line="250" w:lineRule="atLeast"/>
              <w:ind w:left="1040" w:right="92" w:hanging="490"/>
            </w:pPr>
            <w:r w:rsidRPr="00957B06">
              <w:t>3.2</w:t>
            </w:r>
            <w:r w:rsidRPr="00957B06">
              <w:rPr>
                <w:spacing w:val="-8"/>
              </w:rPr>
              <w:t xml:space="preserve"> </w:t>
            </w:r>
            <w:r w:rsidRPr="00957B06">
              <w:t>Planowane</w:t>
            </w:r>
            <w:r w:rsidRPr="00957B06">
              <w:rPr>
                <w:spacing w:val="-9"/>
              </w:rPr>
              <w:t xml:space="preserve"> </w:t>
            </w:r>
            <w:r w:rsidRPr="00957B06">
              <w:t>środki</w:t>
            </w:r>
            <w:r w:rsidRPr="00957B06">
              <w:rPr>
                <w:spacing w:val="-9"/>
              </w:rPr>
              <w:t xml:space="preserve"> </w:t>
            </w:r>
            <w:r w:rsidRPr="00957B06">
              <w:t>realizacji</w:t>
            </w:r>
            <w:r w:rsidRPr="00957B06">
              <w:rPr>
                <w:spacing w:val="-9"/>
              </w:rPr>
              <w:t xml:space="preserve"> </w:t>
            </w:r>
            <w:r w:rsidRPr="00957B06">
              <w:t>celów</w:t>
            </w:r>
            <w:r w:rsidRPr="00957B06">
              <w:rPr>
                <w:spacing w:val="-9"/>
              </w:rPr>
              <w:t xml:space="preserve"> </w:t>
            </w:r>
            <w:r w:rsidRPr="00957B06">
              <w:t>ustawy (planowane narzędzia interwencji)</w:t>
            </w:r>
          </w:p>
        </w:tc>
        <w:tc>
          <w:tcPr>
            <w:tcW w:w="5934" w:type="dxa"/>
            <w:shd w:val="clear" w:color="auto" w:fill="53A824"/>
          </w:tcPr>
          <w:p w14:paraId="39F026BD" w14:textId="77777777" w:rsidR="009C15F8" w:rsidRPr="00957B06" w:rsidRDefault="00E06656">
            <w:pPr>
              <w:pStyle w:val="TableParagraph"/>
              <w:spacing w:before="126"/>
              <w:ind w:left="318"/>
            </w:pPr>
            <w:r w:rsidRPr="00957B06">
              <w:t>3.4</w:t>
            </w:r>
            <w:r w:rsidRPr="00957B06">
              <w:rPr>
                <w:spacing w:val="-7"/>
              </w:rPr>
              <w:t xml:space="preserve"> </w:t>
            </w:r>
            <w:r w:rsidRPr="00957B06">
              <w:t>Ocena</w:t>
            </w:r>
            <w:r w:rsidRPr="00957B06">
              <w:rPr>
                <w:spacing w:val="-6"/>
              </w:rPr>
              <w:t xml:space="preserve"> </w:t>
            </w:r>
            <w:r w:rsidRPr="00957B06">
              <w:t>funkcjonowania</w:t>
            </w:r>
            <w:r w:rsidRPr="00957B06">
              <w:rPr>
                <w:spacing w:val="-7"/>
              </w:rPr>
              <w:t xml:space="preserve"> </w:t>
            </w:r>
            <w:r w:rsidRPr="00957B06">
              <w:t>środków</w:t>
            </w:r>
            <w:r w:rsidRPr="00957B06">
              <w:rPr>
                <w:spacing w:val="-7"/>
              </w:rPr>
              <w:t xml:space="preserve"> </w:t>
            </w:r>
            <w:r w:rsidRPr="00957B06">
              <w:t>realizacji</w:t>
            </w:r>
            <w:r w:rsidRPr="00957B06">
              <w:rPr>
                <w:spacing w:val="-7"/>
              </w:rPr>
              <w:t xml:space="preserve"> </w:t>
            </w:r>
            <w:r w:rsidRPr="00957B06">
              <w:t>celów</w:t>
            </w:r>
            <w:r w:rsidRPr="00957B06">
              <w:rPr>
                <w:spacing w:val="-6"/>
              </w:rPr>
              <w:t xml:space="preserve"> </w:t>
            </w:r>
            <w:r w:rsidRPr="00957B06">
              <w:rPr>
                <w:spacing w:val="-2"/>
              </w:rPr>
              <w:t>ustawy</w:t>
            </w:r>
          </w:p>
        </w:tc>
      </w:tr>
      <w:tr w:rsidR="00BB2CFE" w:rsidRPr="00957B06" w14:paraId="4A6E5DA9" w14:textId="77777777" w:rsidTr="00C14D56">
        <w:trPr>
          <w:trHeight w:val="3035"/>
        </w:trPr>
        <w:tc>
          <w:tcPr>
            <w:tcW w:w="5123" w:type="dxa"/>
            <w:vAlign w:val="center"/>
          </w:tcPr>
          <w:p w14:paraId="318EDAFB" w14:textId="36500956" w:rsidR="00080393" w:rsidRPr="00957B06" w:rsidRDefault="00BB2CFE" w:rsidP="00BB2CFE">
            <w:pPr>
              <w:spacing w:after="120"/>
              <w:rPr>
                <w:rFonts w:cs="Calibri"/>
                <w:color w:val="000000"/>
                <w:spacing w:val="-2"/>
              </w:rPr>
            </w:pPr>
            <w:r w:rsidRPr="00957B06">
              <w:rPr>
                <w:rFonts w:cs="Calibri"/>
                <w:color w:val="000000"/>
                <w:spacing w:val="-2"/>
              </w:rPr>
              <w:t xml:space="preserve">Co do zasady, koszty związane z realizacją wymagań określonych w ustawie (zapewnianiem dostępności) powinny zostać ujęte w planach i limitach finansowych podmiotów publicznych objętych regulacją. W przypadku wydatków budżetu państwa, w ramach środków dostępnych we właściwych częściach budżetowych, a w przypadku wydatków jednostek samorządu terytorialnego, w ramach ich budżetów. Wydatki podmiotów publicznych na zapewnienie dostępności zgodnie z regulacją, będą ponoszone w ramach środków ujętych w planach finansowych objętych regulacją podmiotów. Ogółem wydatki te nie będą stanowiły podstawy do ubiegania się o dodatkowe środki a wszelkie skutki finansowe wynikające z implementacji ustawy będą finansowane w ramach limitu dysponentów części budżetowych. Powyższe organicznie nie dotyczy jednak dysponentów części 34-Rozwój regionalny, części 16-Kancelaria Prezesa Rady Ministrów oraz części 44-Zabezpieczenie społeczne, w ramach których powinny być corocznie zabezpieczane dodatkowe środki w ramach planowania budżetowego, na realizację zadań związanych z uruchomieniem rozwiązań przyjętych w ramach przedmiotowej ustawy (w szczególności na obsługę Funduszu Dostępności i procesu skargowego). </w:t>
            </w:r>
          </w:p>
          <w:p w14:paraId="6A262CE6" w14:textId="4B1D7553" w:rsidR="00BB2CFE" w:rsidRPr="00957B06" w:rsidRDefault="00BB2CFE" w:rsidP="00BB2CFE">
            <w:pPr>
              <w:spacing w:after="120"/>
              <w:rPr>
                <w:rFonts w:cs="Calibri"/>
                <w:color w:val="000000"/>
                <w:spacing w:val="-2"/>
              </w:rPr>
            </w:pPr>
            <w:r w:rsidRPr="00957B06">
              <w:rPr>
                <w:rFonts w:cs="Calibri"/>
                <w:color w:val="000000"/>
                <w:spacing w:val="-2"/>
              </w:rPr>
              <w:t>Jednocześnie należy zauważyć, że dodatkowym źródłem finansowania zadań związanych z zapewnianiem dostępności m</w:t>
            </w:r>
            <w:r w:rsidR="00C0106C" w:rsidRPr="00957B06">
              <w:rPr>
                <w:rFonts w:cs="Calibri"/>
                <w:color w:val="000000"/>
                <w:spacing w:val="-2"/>
              </w:rPr>
              <w:t>iał</w:t>
            </w:r>
            <w:r w:rsidRPr="00957B06">
              <w:rPr>
                <w:rFonts w:cs="Calibri"/>
                <w:color w:val="000000"/>
                <w:spacing w:val="-2"/>
              </w:rPr>
              <w:t xml:space="preserve"> być Fundusz Dostępności, który umożliwi</w:t>
            </w:r>
            <w:r w:rsidR="00C0106C" w:rsidRPr="00957B06">
              <w:rPr>
                <w:rFonts w:cs="Calibri"/>
                <w:color w:val="000000"/>
                <w:spacing w:val="-2"/>
              </w:rPr>
              <w:t>łby</w:t>
            </w:r>
            <w:r w:rsidRPr="00957B06">
              <w:rPr>
                <w:rFonts w:cs="Calibri"/>
                <w:color w:val="000000"/>
                <w:spacing w:val="-2"/>
              </w:rPr>
              <w:t xml:space="preserve"> podmiotom publicznym ubieganie się o atrakcyjną finansowo pożyczkę na zapewnienie lub poprawę dostępności o której mowa w ustawie</w:t>
            </w:r>
            <w:r w:rsidR="00C0106C" w:rsidRPr="00957B06">
              <w:rPr>
                <w:rFonts w:cs="Calibri"/>
                <w:color w:val="000000"/>
                <w:spacing w:val="-2"/>
              </w:rPr>
              <w:t>.</w:t>
            </w:r>
            <w:r w:rsidRPr="00957B06">
              <w:rPr>
                <w:rFonts w:cs="Calibri"/>
                <w:color w:val="000000"/>
                <w:spacing w:val="-2"/>
              </w:rPr>
              <w:t xml:space="preserve"> </w:t>
            </w:r>
          </w:p>
          <w:p w14:paraId="55956D63" w14:textId="2636AE52" w:rsidR="00BB2CFE" w:rsidRPr="00957B06" w:rsidRDefault="00BB2CFE" w:rsidP="00BB2CFE">
            <w:pPr>
              <w:suppressAutoHyphens/>
              <w:adjustRightInd w:val="0"/>
              <w:spacing w:before="120"/>
              <w:rPr>
                <w:rFonts w:cs="Calibri"/>
                <w:color w:val="000000"/>
                <w:spacing w:val="-2"/>
              </w:rPr>
            </w:pPr>
            <w:r w:rsidRPr="00957B06">
              <w:rPr>
                <w:rFonts w:cs="Calibri"/>
                <w:color w:val="000000"/>
                <w:spacing w:val="-2"/>
              </w:rPr>
              <w:t>W zakresie finansowania utworzonego</w:t>
            </w:r>
            <w:r w:rsidR="00CE7624" w:rsidRPr="00957B06">
              <w:rPr>
                <w:rFonts w:cs="Calibri"/>
                <w:color w:val="000000"/>
                <w:spacing w:val="-2"/>
              </w:rPr>
              <w:t>,</w:t>
            </w:r>
            <w:r w:rsidRPr="00957B06">
              <w:rPr>
                <w:rFonts w:cs="Calibri"/>
                <w:color w:val="000000"/>
                <w:spacing w:val="-2"/>
              </w:rPr>
              <w:t xml:space="preserve"> na mocy ustawy</w:t>
            </w:r>
            <w:r w:rsidR="00CE7624" w:rsidRPr="00957B06">
              <w:rPr>
                <w:rFonts w:cs="Calibri"/>
                <w:color w:val="000000"/>
                <w:spacing w:val="-2"/>
              </w:rPr>
              <w:t>,</w:t>
            </w:r>
            <w:r w:rsidRPr="00957B06">
              <w:rPr>
                <w:rFonts w:cs="Calibri"/>
                <w:color w:val="000000"/>
                <w:spacing w:val="-2"/>
              </w:rPr>
              <w:t xml:space="preserve"> Funduszu Dostępności zakłada się, że podstawowym źródłem przychodów Funduszu będą środki finansowe, o których mowa w art. 29 ust. 1, art. 29a ust. 1 i art. 98 ust. 1 ustawy z dnia 11 lipca 2014 r. o zasadach realizacji programów w zakresie polityki spójności finansowanych w perspektywie finansowej 2014-2020. Są to środki europejskie, które po wykonaniu zobowiązań wynikających z umowy o dofinansowanie projektu lub decyzji o dofinansowaniu projektu będą w dyspozycji ministra właściwego ds. rozwoju. Dotyczy to środków finansowych zwracanych z projektów instrumentów inżynierii finansowej w perspektywie finansowej 2007-2013 (projekty wdrażane na podstawie art. 44 rozporządzenia Rady (WE) nr 1083/2006 z dnia 11 lipca 2006 r. ustanawiającego przepisy ogólne dotyczące Europejskiego Funduszu Rozwoju Regionalnego, Europejskiego Funduszu Społecznego oraz Funduszu Spójności i uchylającego rozporządzenie (WE) nr 1260/1999). Szacuje się, że z tych tytułów do Funduszu wpłynie około 137,5 mln zł. Dodatkowo ustawa przewiduje możliwość zasilenia Funduszu w miarę dostępności środkami z dotacji z budżetu państwa (założono 320 mln zł w perspektywie 10 lat), oraz środkami z Solidarnościowego Funduszu Wsparcia Osób Niepełnosprawnych</w:t>
            </w:r>
            <w:r w:rsidR="006A0AFD" w:rsidRPr="00957B06">
              <w:rPr>
                <w:rFonts w:cs="Calibri"/>
                <w:color w:val="000000"/>
                <w:spacing w:val="-2"/>
              </w:rPr>
              <w:t xml:space="preserve"> </w:t>
            </w:r>
            <w:r w:rsidR="00B926D3" w:rsidRPr="00957B06">
              <w:rPr>
                <w:rFonts w:cs="Calibri"/>
                <w:color w:val="000000"/>
                <w:spacing w:val="-2"/>
              </w:rPr>
              <w:t>(zmieniona nazwa nowelizacją Ustawy z 2019 r. na Fundusz Solidarnościowy</w:t>
            </w:r>
            <w:r w:rsidR="006A0AFD" w:rsidRPr="00957B06">
              <w:rPr>
                <w:rFonts w:cs="Calibri"/>
                <w:color w:val="000000"/>
                <w:spacing w:val="-2"/>
              </w:rPr>
              <w:t>)</w:t>
            </w:r>
            <w:r w:rsidRPr="00957B06">
              <w:rPr>
                <w:rFonts w:cs="Calibri"/>
                <w:color w:val="000000"/>
                <w:spacing w:val="-2"/>
              </w:rPr>
              <w:t xml:space="preserve"> (założono wpływy na poziomie ok 40 mln rocznie – łącznie 400 mln zł.). Środki przekazywane do dokapitalizowani</w:t>
            </w:r>
            <w:r w:rsidR="00CE7624" w:rsidRPr="00957B06">
              <w:rPr>
                <w:rFonts w:cs="Calibri"/>
                <w:color w:val="000000"/>
                <w:spacing w:val="-2"/>
              </w:rPr>
              <w:t>a</w:t>
            </w:r>
            <w:r w:rsidRPr="00957B06">
              <w:rPr>
                <w:rFonts w:cs="Calibri"/>
                <w:color w:val="000000"/>
                <w:spacing w:val="-2"/>
              </w:rPr>
              <w:t xml:space="preserve"> Funduszu a pochodzące z </w:t>
            </w:r>
            <w:r w:rsidR="00B926D3" w:rsidRPr="00957B06">
              <w:rPr>
                <w:rFonts w:cs="Calibri"/>
                <w:color w:val="000000"/>
                <w:spacing w:val="-2"/>
              </w:rPr>
              <w:t>Funduszu Solidarnościowego</w:t>
            </w:r>
            <w:r w:rsidRPr="00957B06">
              <w:rPr>
                <w:rFonts w:cs="Calibri"/>
                <w:color w:val="000000"/>
                <w:spacing w:val="-2"/>
              </w:rPr>
              <w:t xml:space="preserve"> zostaną </w:t>
            </w:r>
            <w:r w:rsidRPr="00957B06">
              <w:rPr>
                <w:rFonts w:cs="Calibri"/>
                <w:color w:val="000000"/>
                <w:spacing w:val="-2"/>
              </w:rPr>
              <w:lastRenderedPageBreak/>
              <w:t xml:space="preserve">wygospodarowane w ramach kosztów ogółem ujętych w planie finansowym SFWON na 2019 r., tj. 490 285 tys. zł. </w:t>
            </w:r>
          </w:p>
          <w:p w14:paraId="76C35BB7" w14:textId="21BD7EAE" w:rsidR="00BB2CFE" w:rsidRPr="00957B06" w:rsidRDefault="00BB2CFE" w:rsidP="00BB2CFE">
            <w:pPr>
              <w:pStyle w:val="TableParagraph"/>
              <w:ind w:right="95"/>
              <w:jc w:val="both"/>
              <w:rPr>
                <w:rFonts w:cs="Calibri"/>
                <w:color w:val="000000"/>
                <w:spacing w:val="-2"/>
              </w:rPr>
            </w:pPr>
          </w:p>
          <w:p w14:paraId="0CDE45D5" w14:textId="2D176D28" w:rsidR="00BB2CFE" w:rsidRPr="00957B06" w:rsidRDefault="00BB2CFE" w:rsidP="00BB2CFE">
            <w:pPr>
              <w:pStyle w:val="TableParagraph"/>
              <w:ind w:right="95"/>
              <w:jc w:val="both"/>
              <w:rPr>
                <w:rFonts w:cs="Calibri"/>
                <w:color w:val="000000"/>
                <w:spacing w:val="-2"/>
              </w:rPr>
            </w:pPr>
          </w:p>
        </w:tc>
        <w:tc>
          <w:tcPr>
            <w:tcW w:w="5934" w:type="dxa"/>
          </w:tcPr>
          <w:p w14:paraId="3F3F5DE0" w14:textId="1ACA4493" w:rsidR="00CB7D98" w:rsidRPr="00957B06" w:rsidRDefault="002C3537" w:rsidP="00610AA3">
            <w:pPr>
              <w:spacing w:after="120"/>
              <w:rPr>
                <w:rFonts w:cs="Calibri"/>
                <w:color w:val="000000"/>
                <w:spacing w:val="-2"/>
              </w:rPr>
            </w:pPr>
            <w:r w:rsidRPr="00957B06">
              <w:rPr>
                <w:rFonts w:cs="Calibri"/>
                <w:color w:val="000000"/>
                <w:spacing w:val="-2"/>
              </w:rPr>
              <w:lastRenderedPageBreak/>
              <w:t xml:space="preserve">Wdrażanie ustawy realizowane było </w:t>
            </w:r>
            <w:r w:rsidR="00CB7D98" w:rsidRPr="00957B06">
              <w:rPr>
                <w:rFonts w:cs="Calibri"/>
                <w:color w:val="000000"/>
                <w:spacing w:val="-2"/>
              </w:rPr>
              <w:t>zarówno poprzez wydatki z budżetu państwa</w:t>
            </w:r>
            <w:r w:rsidR="00AA2666" w:rsidRPr="00957B06">
              <w:rPr>
                <w:rFonts w:cs="Calibri"/>
                <w:color w:val="000000"/>
                <w:spacing w:val="-2"/>
              </w:rPr>
              <w:t>, w ramach środ</w:t>
            </w:r>
            <w:r w:rsidR="00D34D1D" w:rsidRPr="00957B06">
              <w:rPr>
                <w:rFonts w:cs="Calibri"/>
                <w:color w:val="000000"/>
                <w:spacing w:val="-2"/>
              </w:rPr>
              <w:t>ków</w:t>
            </w:r>
            <w:r w:rsidR="00AA2666" w:rsidRPr="00467BD3">
              <w:rPr>
                <w:rFonts w:cs="Calibri"/>
                <w:color w:val="000000"/>
                <w:spacing w:val="-2"/>
              </w:rPr>
              <w:t xml:space="preserve"> własnych samorządu terytorialnego</w:t>
            </w:r>
            <w:r w:rsidR="00CB7D98" w:rsidRPr="00957B06">
              <w:rPr>
                <w:rFonts w:cs="Calibri"/>
                <w:color w:val="000000"/>
                <w:spacing w:val="-2"/>
              </w:rPr>
              <w:t xml:space="preserve"> jak i</w:t>
            </w:r>
            <w:r w:rsidRPr="00957B06">
              <w:rPr>
                <w:rFonts w:cs="Calibri"/>
                <w:color w:val="000000"/>
                <w:spacing w:val="-2"/>
              </w:rPr>
              <w:t xml:space="preserve"> przy </w:t>
            </w:r>
            <w:r w:rsidR="00CB7D98" w:rsidRPr="00957B06">
              <w:rPr>
                <w:rFonts w:cs="Calibri"/>
                <w:color w:val="000000"/>
                <w:spacing w:val="-2"/>
              </w:rPr>
              <w:t xml:space="preserve">istotnym </w:t>
            </w:r>
            <w:r w:rsidRPr="00957B06">
              <w:rPr>
                <w:rFonts w:cs="Calibri"/>
                <w:color w:val="000000"/>
                <w:spacing w:val="-2"/>
              </w:rPr>
              <w:t xml:space="preserve">wsparciu finansowym </w:t>
            </w:r>
            <w:r w:rsidR="00756605" w:rsidRPr="00957B06">
              <w:rPr>
                <w:rFonts w:cs="Calibri"/>
                <w:color w:val="000000"/>
                <w:spacing w:val="-2"/>
              </w:rPr>
              <w:t>Europejskiego Funduszu Społecznego.</w:t>
            </w:r>
            <w:r w:rsidR="00CB7D98" w:rsidRPr="00957B06">
              <w:rPr>
                <w:rFonts w:cs="Calibri"/>
                <w:color w:val="000000"/>
                <w:spacing w:val="-2"/>
              </w:rPr>
              <w:t xml:space="preserve"> </w:t>
            </w:r>
          </w:p>
          <w:p w14:paraId="32DB0C8A" w14:textId="77777777" w:rsidR="00CB7D98" w:rsidRPr="00957B06" w:rsidRDefault="00CB7D98" w:rsidP="00610AA3">
            <w:pPr>
              <w:spacing w:after="120"/>
              <w:rPr>
                <w:rFonts w:cs="Calibri"/>
                <w:color w:val="000000"/>
                <w:spacing w:val="-2"/>
              </w:rPr>
            </w:pPr>
          </w:p>
          <w:p w14:paraId="0ABB53B3" w14:textId="4A9AF905" w:rsidR="00CB7D98" w:rsidRPr="00957B06" w:rsidRDefault="00CB7D98" w:rsidP="00610AA3">
            <w:pPr>
              <w:spacing w:after="120"/>
              <w:rPr>
                <w:rFonts w:cs="Calibri"/>
                <w:color w:val="000000"/>
                <w:spacing w:val="-2"/>
              </w:rPr>
            </w:pPr>
            <w:r w:rsidRPr="00957B06">
              <w:rPr>
                <w:rFonts w:cs="Calibri"/>
                <w:color w:val="000000"/>
                <w:spacing w:val="-2"/>
              </w:rPr>
              <w:t>W przypadku wydatków budżetu państwa</w:t>
            </w:r>
            <w:r w:rsidR="00AA2666" w:rsidRPr="00957B06">
              <w:rPr>
                <w:rFonts w:cs="Calibri"/>
                <w:color w:val="000000"/>
                <w:spacing w:val="-2"/>
              </w:rPr>
              <w:t xml:space="preserve"> :</w:t>
            </w:r>
          </w:p>
          <w:p w14:paraId="7E3B17FD" w14:textId="76EE4667" w:rsidR="00C0568B" w:rsidRPr="00957B06" w:rsidRDefault="00AA2666" w:rsidP="00C0568B">
            <w:pPr>
              <w:adjustRightInd w:val="0"/>
              <w:rPr>
                <w:rFonts w:cs="Calibri"/>
                <w:color w:val="000000"/>
                <w:spacing w:val="-2"/>
              </w:rPr>
            </w:pPr>
            <w:r w:rsidRPr="00957B06">
              <w:rPr>
                <w:rFonts w:cs="Calibri"/>
                <w:color w:val="000000"/>
                <w:spacing w:val="-2"/>
              </w:rPr>
              <w:t>•</w:t>
            </w:r>
            <w:r w:rsidRPr="00957B06">
              <w:rPr>
                <w:rFonts w:cs="Calibri"/>
                <w:color w:val="000000"/>
                <w:spacing w:val="-2"/>
              </w:rPr>
              <w:tab/>
            </w:r>
            <w:r w:rsidR="00C0568B" w:rsidRPr="00957B06">
              <w:rPr>
                <w:rFonts w:cs="Calibri"/>
                <w:color w:val="000000"/>
                <w:spacing w:val="-2"/>
              </w:rPr>
              <w:t>Kancelaria Prezesa Rady Ministrów oraz Ministerstwo Cyfryzacji poniosły koszty</w:t>
            </w:r>
            <w:r w:rsidR="004A6E97" w:rsidRPr="00957B06">
              <w:rPr>
                <w:rFonts w:cs="Calibri"/>
                <w:color w:val="000000"/>
                <w:spacing w:val="-2"/>
              </w:rPr>
              <w:t xml:space="preserve"> </w:t>
            </w:r>
            <w:r w:rsidR="00C0568B" w:rsidRPr="00957B06">
              <w:rPr>
                <w:rFonts w:cs="Calibri"/>
                <w:color w:val="000000"/>
                <w:spacing w:val="-2"/>
              </w:rPr>
              <w:t>rzędu ok. 9 mln zł na realizację działań szkoleniowych prowadzonych w zakresie</w:t>
            </w:r>
            <w:r w:rsidR="004A6E97" w:rsidRPr="00957B06">
              <w:rPr>
                <w:rFonts w:cs="Calibri"/>
                <w:color w:val="000000"/>
                <w:spacing w:val="-2"/>
              </w:rPr>
              <w:t xml:space="preserve"> </w:t>
            </w:r>
            <w:r w:rsidR="00C0568B" w:rsidRPr="00957B06">
              <w:rPr>
                <w:rFonts w:cs="Calibri"/>
                <w:color w:val="000000"/>
                <w:spacing w:val="-2"/>
              </w:rPr>
              <w:t>dostępności stron internetowych, serwisów informacyjnych i aplikacji mobilnych</w:t>
            </w:r>
          </w:p>
          <w:p w14:paraId="355092FC" w14:textId="55067535" w:rsidR="00C0568B" w:rsidRPr="00957B06" w:rsidRDefault="00C0568B" w:rsidP="00C0568B">
            <w:pPr>
              <w:adjustRightInd w:val="0"/>
              <w:rPr>
                <w:rFonts w:cs="Calibri"/>
                <w:color w:val="000000"/>
                <w:spacing w:val="-2"/>
              </w:rPr>
            </w:pPr>
            <w:r w:rsidRPr="00957B06">
              <w:rPr>
                <w:rFonts w:cs="Calibri"/>
                <w:color w:val="000000"/>
                <w:spacing w:val="-2"/>
              </w:rPr>
              <w:t>podmiotów publicznych.</w:t>
            </w:r>
            <w:r w:rsidR="004A6E97" w:rsidRPr="00957B06">
              <w:rPr>
                <w:rFonts w:cs="Calibri"/>
                <w:color w:val="000000"/>
                <w:spacing w:val="-2"/>
              </w:rPr>
              <w:t xml:space="preserve"> </w:t>
            </w:r>
            <w:r w:rsidRPr="00957B06">
              <w:rPr>
                <w:rFonts w:cs="Calibri"/>
                <w:color w:val="000000"/>
                <w:spacing w:val="-2"/>
              </w:rPr>
              <w:t>Działania szkoleniowe prowadzone były przez Ministerstwo Cyfryzacji w ramach takich</w:t>
            </w:r>
            <w:r w:rsidR="004A6E97" w:rsidRPr="00957B06">
              <w:rPr>
                <w:rFonts w:cs="Calibri"/>
                <w:color w:val="000000"/>
                <w:spacing w:val="-2"/>
              </w:rPr>
              <w:t xml:space="preserve"> </w:t>
            </w:r>
            <w:r w:rsidRPr="00957B06">
              <w:rPr>
                <w:rFonts w:cs="Calibri"/>
                <w:color w:val="000000"/>
                <w:spacing w:val="-2"/>
              </w:rPr>
              <w:t>projektów jak: „Dostępność cyfrowa stron jednostek samorządu terytorialnego – zasoby,</w:t>
            </w:r>
            <w:r w:rsidR="004A6E97" w:rsidRPr="00957B06">
              <w:rPr>
                <w:rFonts w:cs="Calibri"/>
                <w:color w:val="000000"/>
                <w:spacing w:val="-2"/>
              </w:rPr>
              <w:t xml:space="preserve"> </w:t>
            </w:r>
            <w:r w:rsidRPr="00957B06">
              <w:rPr>
                <w:rFonts w:cs="Calibri"/>
                <w:color w:val="000000"/>
                <w:spacing w:val="-2"/>
              </w:rPr>
              <w:t xml:space="preserve">szkolenia, </w:t>
            </w:r>
            <w:proofErr w:type="spellStart"/>
            <w:r w:rsidRPr="00957B06">
              <w:rPr>
                <w:rFonts w:cs="Calibri"/>
                <w:color w:val="000000"/>
                <w:spacing w:val="-2"/>
              </w:rPr>
              <w:t>walidatory</w:t>
            </w:r>
            <w:proofErr w:type="spellEnd"/>
            <w:r w:rsidRPr="00957B06">
              <w:rPr>
                <w:rFonts w:cs="Calibri"/>
                <w:color w:val="000000"/>
                <w:spacing w:val="-2"/>
              </w:rPr>
              <w:t>” – przeszkolono 3,3 tys. pracowników administracji publicznej,</w:t>
            </w:r>
            <w:r w:rsidR="004A6E97" w:rsidRPr="00957B06">
              <w:rPr>
                <w:rFonts w:cs="Calibri"/>
                <w:color w:val="000000"/>
                <w:spacing w:val="-2"/>
              </w:rPr>
              <w:t xml:space="preserve"> </w:t>
            </w:r>
            <w:r w:rsidRPr="00957B06">
              <w:rPr>
                <w:rFonts w:cs="Calibri"/>
                <w:color w:val="000000"/>
                <w:spacing w:val="-2"/>
              </w:rPr>
              <w:t>„Szkolenia z zakresu zarządzania i koordynowania dostępności cyfrowej w projektach</w:t>
            </w:r>
          </w:p>
          <w:p w14:paraId="447E292A" w14:textId="778E1E91" w:rsidR="00AA2666" w:rsidRPr="00957B06" w:rsidRDefault="00C0568B" w:rsidP="00AA2666">
            <w:pPr>
              <w:pStyle w:val="TableParagraph"/>
              <w:ind w:left="107" w:right="95"/>
              <w:jc w:val="both"/>
              <w:rPr>
                <w:rFonts w:cs="Calibri"/>
                <w:color w:val="000000"/>
                <w:spacing w:val="-2"/>
              </w:rPr>
            </w:pPr>
            <w:r w:rsidRPr="00957B06">
              <w:rPr>
                <w:rFonts w:cs="Calibri"/>
                <w:color w:val="000000"/>
                <w:spacing w:val="-2"/>
              </w:rPr>
              <w:t>dla pracowników administracji publicznej” – przeszkolono ok. 600 pracowników</w:t>
            </w:r>
            <w:r w:rsidR="004A6E97" w:rsidRPr="00957B06">
              <w:rPr>
                <w:rFonts w:cs="Calibri"/>
                <w:color w:val="000000"/>
                <w:spacing w:val="-2"/>
              </w:rPr>
              <w:t xml:space="preserve"> </w:t>
            </w:r>
            <w:r w:rsidRPr="00957B06">
              <w:rPr>
                <w:rFonts w:cs="Calibri"/>
                <w:color w:val="000000"/>
                <w:spacing w:val="-2"/>
              </w:rPr>
              <w:t>podmiotów publicznych, oraz Kancelarię Prezesa Rady Ministrów w ramach</w:t>
            </w:r>
            <w:r w:rsidR="004A6E97" w:rsidRPr="00957B06">
              <w:rPr>
                <w:rFonts w:cs="Calibri"/>
                <w:color w:val="000000"/>
                <w:spacing w:val="-2"/>
              </w:rPr>
              <w:t xml:space="preserve"> </w:t>
            </w:r>
            <w:r w:rsidRPr="00957B06">
              <w:rPr>
                <w:rFonts w:cs="Calibri"/>
                <w:color w:val="000000"/>
                <w:spacing w:val="-2"/>
              </w:rPr>
              <w:t>projektów „Przyjazny urząd – szkolenia z zakresu dostępności cyfrowej” – 1600</w:t>
            </w:r>
            <w:r w:rsidR="004A6E97" w:rsidRPr="00957B06">
              <w:rPr>
                <w:rFonts w:cs="Calibri"/>
                <w:color w:val="000000"/>
                <w:spacing w:val="-2"/>
              </w:rPr>
              <w:t xml:space="preserve"> </w:t>
            </w:r>
            <w:r w:rsidRPr="00957B06">
              <w:rPr>
                <w:rFonts w:cs="Calibri"/>
                <w:color w:val="000000"/>
                <w:spacing w:val="-2"/>
              </w:rPr>
              <w:t>pracowników przeszkolonych z dostępności cyfrowej oraz blisko 500 pracowników</w:t>
            </w:r>
            <w:r w:rsidR="004A6E97" w:rsidRPr="00957B06">
              <w:rPr>
                <w:rFonts w:cs="Calibri"/>
                <w:color w:val="000000"/>
                <w:spacing w:val="-2"/>
              </w:rPr>
              <w:t xml:space="preserve"> </w:t>
            </w:r>
            <w:r w:rsidRPr="00957B06">
              <w:rPr>
                <w:rFonts w:cs="Calibri"/>
                <w:color w:val="000000"/>
                <w:spacing w:val="-2"/>
              </w:rPr>
              <w:t>podmiotów publicznych z prostego języka oraz efektywnej komunikacji.</w:t>
            </w:r>
          </w:p>
          <w:p w14:paraId="36FE1A48" w14:textId="77777777" w:rsidR="00AA2666" w:rsidRPr="00957B06" w:rsidRDefault="00AA2666" w:rsidP="00AA2666">
            <w:pPr>
              <w:pStyle w:val="TableParagraph"/>
              <w:ind w:left="107" w:right="95"/>
              <w:jc w:val="both"/>
              <w:rPr>
                <w:rFonts w:cs="Calibri"/>
                <w:color w:val="000000"/>
                <w:spacing w:val="-2"/>
              </w:rPr>
            </w:pPr>
            <w:r w:rsidRPr="00957B06">
              <w:rPr>
                <w:rFonts w:cs="Calibri"/>
                <w:color w:val="000000"/>
                <w:spacing w:val="-2"/>
              </w:rPr>
              <w:t>•</w:t>
            </w:r>
            <w:r w:rsidRPr="00957B06">
              <w:rPr>
                <w:rFonts w:cs="Calibri"/>
                <w:color w:val="000000"/>
                <w:spacing w:val="-2"/>
              </w:rPr>
              <w:tab/>
              <w:t>Część 44 - Szacunkowe wydatki poniesione przez PFRON na uruchomienie i obsługę mechanizmu skargowego na brak dostępności, w latach 2021–2024 wyniosły ponad 13 200 000 zł.</w:t>
            </w:r>
          </w:p>
          <w:p w14:paraId="6A98E098" w14:textId="77777777" w:rsidR="00CB7D98" w:rsidRPr="00957B06" w:rsidRDefault="00CB7D98" w:rsidP="002C3537">
            <w:pPr>
              <w:pStyle w:val="TableParagraph"/>
              <w:ind w:left="107" w:right="95"/>
              <w:jc w:val="both"/>
              <w:rPr>
                <w:rFonts w:cs="Calibri"/>
                <w:color w:val="000000"/>
                <w:spacing w:val="-2"/>
              </w:rPr>
            </w:pPr>
          </w:p>
          <w:p w14:paraId="11614818" w14:textId="389338F5" w:rsidR="00AA2666" w:rsidRPr="00957B06" w:rsidRDefault="00AA2666" w:rsidP="0054124A">
            <w:pPr>
              <w:pStyle w:val="TableParagraph"/>
              <w:ind w:left="0" w:right="95"/>
              <w:jc w:val="both"/>
              <w:rPr>
                <w:rFonts w:cs="Calibri"/>
                <w:color w:val="000000"/>
                <w:spacing w:val="-2"/>
              </w:rPr>
            </w:pPr>
            <w:r w:rsidRPr="00957B06">
              <w:rPr>
                <w:rFonts w:cs="Calibri"/>
                <w:color w:val="000000"/>
                <w:spacing w:val="-2"/>
              </w:rPr>
              <w:t xml:space="preserve">W przypadku Funduszu Dostępności  </w:t>
            </w:r>
            <w:r w:rsidR="00B926D3" w:rsidRPr="00957B06">
              <w:rPr>
                <w:rFonts w:cs="Calibri"/>
                <w:color w:val="000000"/>
                <w:spacing w:val="-2"/>
              </w:rPr>
              <w:t>do końca marca 2026 r. złożono 721 wniosków na kwotę 735 mln zł. Podpisano 458 umów, na kwotę ponad 400 mln zł (więcej danych z efektami wdrażania Funduszu Dostępności znajduje się na str. 8)</w:t>
            </w:r>
            <w:r w:rsidR="0040607A" w:rsidRPr="00957B06">
              <w:rPr>
                <w:rFonts w:cs="Calibri"/>
                <w:color w:val="000000"/>
                <w:spacing w:val="-2"/>
              </w:rPr>
              <w:t xml:space="preserve">. </w:t>
            </w:r>
          </w:p>
          <w:p w14:paraId="797BD6EA" w14:textId="046E4ACE" w:rsidR="00CB7D98" w:rsidRPr="00957B06" w:rsidRDefault="00AA2666" w:rsidP="0005031D">
            <w:pPr>
              <w:spacing w:after="120" w:line="276" w:lineRule="auto"/>
              <w:rPr>
                <w:rFonts w:cs="Calibri"/>
                <w:color w:val="000000"/>
                <w:spacing w:val="-2"/>
              </w:rPr>
            </w:pPr>
            <w:r w:rsidRPr="00957B06">
              <w:rPr>
                <w:rFonts w:cs="Calibri"/>
                <w:color w:val="000000"/>
                <w:spacing w:val="-2"/>
              </w:rPr>
              <w:t xml:space="preserve">Wynika to </w:t>
            </w:r>
            <w:r w:rsidR="00C0106C" w:rsidRPr="00957B06">
              <w:rPr>
                <w:rFonts w:cs="Calibri"/>
                <w:color w:val="000000"/>
                <w:spacing w:val="-2"/>
              </w:rPr>
              <w:t>głównie</w:t>
            </w:r>
            <w:r w:rsidRPr="00957B06">
              <w:rPr>
                <w:rFonts w:cs="Calibri"/>
                <w:color w:val="000000"/>
                <w:spacing w:val="-2"/>
              </w:rPr>
              <w:t xml:space="preserve"> </w:t>
            </w:r>
            <w:r w:rsidR="00F0045D" w:rsidRPr="00957B06">
              <w:rPr>
                <w:rFonts w:cs="Calibri"/>
                <w:color w:val="000000"/>
                <w:spacing w:val="-2"/>
              </w:rPr>
              <w:t>z</w:t>
            </w:r>
            <w:r w:rsidRPr="00957B06">
              <w:rPr>
                <w:rFonts w:cs="Calibri"/>
                <w:color w:val="000000"/>
                <w:spacing w:val="-2"/>
              </w:rPr>
              <w:t xml:space="preserve"> faktu</w:t>
            </w:r>
            <w:r w:rsidR="00412DB3" w:rsidRPr="00957B06">
              <w:rPr>
                <w:rFonts w:cs="Calibri"/>
                <w:color w:val="000000"/>
                <w:spacing w:val="-2"/>
              </w:rPr>
              <w:t>,</w:t>
            </w:r>
            <w:r w:rsidRPr="00957B06">
              <w:rPr>
                <w:rFonts w:cs="Calibri"/>
                <w:color w:val="000000"/>
                <w:spacing w:val="-2"/>
              </w:rPr>
              <w:t xml:space="preserve"> że inaczej niż</w:t>
            </w:r>
            <w:r w:rsidR="00C0106C" w:rsidRPr="00957B06">
              <w:rPr>
                <w:rFonts w:cs="Calibri"/>
                <w:color w:val="000000"/>
                <w:spacing w:val="-2"/>
              </w:rPr>
              <w:t xml:space="preserve"> zakładano</w:t>
            </w:r>
            <w:r w:rsidRPr="00957B06">
              <w:rPr>
                <w:rFonts w:cs="Calibri"/>
                <w:color w:val="000000"/>
                <w:spacing w:val="-2"/>
              </w:rPr>
              <w:t xml:space="preserve"> w OSR ustawy – F</w:t>
            </w:r>
            <w:r w:rsidR="0040607A" w:rsidRPr="00957B06">
              <w:rPr>
                <w:rFonts w:cs="Calibri"/>
                <w:color w:val="000000"/>
                <w:spacing w:val="-2"/>
              </w:rPr>
              <w:t>undusz Dostępności</w:t>
            </w:r>
            <w:r w:rsidRPr="00957B06">
              <w:rPr>
                <w:rFonts w:cs="Calibri"/>
                <w:color w:val="000000"/>
                <w:spacing w:val="-2"/>
              </w:rPr>
              <w:t xml:space="preserve"> nie został zasilony środkami budżetu państwa w takiej wysokości jak planowano. </w:t>
            </w:r>
            <w:r w:rsidR="00412DB3" w:rsidRPr="00957B06">
              <w:rPr>
                <w:rFonts w:cs="Calibri"/>
                <w:color w:val="000000"/>
                <w:spacing w:val="-2"/>
              </w:rPr>
              <w:t>Reguła wydatkowa określona w ustawie</w:t>
            </w:r>
            <w:r w:rsidR="00453CB3" w:rsidRPr="00957B06">
              <w:rPr>
                <w:rFonts w:cs="Calibri"/>
                <w:color w:val="000000"/>
                <w:spacing w:val="-2"/>
              </w:rPr>
              <w:t xml:space="preserve"> ( art. 72) </w:t>
            </w:r>
            <w:r w:rsidR="00412DB3" w:rsidRPr="00957B06">
              <w:rPr>
                <w:rFonts w:cs="Calibri"/>
                <w:color w:val="000000"/>
                <w:spacing w:val="-2"/>
              </w:rPr>
              <w:t xml:space="preserve"> określiła limit środków z budżetu państwa w latach 2019-2028 (okres przygotowania OSR dla ustawy) na ponad 375 mln zł. Na tą kwotę składa się dotacja z budżetu państwa, środki dla PFRON na obsługę procesu skargowego i środki na obsługę F</w:t>
            </w:r>
            <w:r w:rsidR="00F0045D" w:rsidRPr="00957B06">
              <w:rPr>
                <w:rFonts w:cs="Calibri"/>
                <w:color w:val="000000"/>
                <w:spacing w:val="-2"/>
              </w:rPr>
              <w:t>unduszu Dostępności</w:t>
            </w:r>
            <w:r w:rsidR="00412DB3" w:rsidRPr="00957B06">
              <w:rPr>
                <w:rFonts w:cs="Calibri"/>
                <w:color w:val="000000"/>
                <w:spacing w:val="-2"/>
              </w:rPr>
              <w:t xml:space="preserve">. </w:t>
            </w:r>
            <w:r w:rsidR="00453CB3" w:rsidRPr="00957B06">
              <w:rPr>
                <w:rFonts w:cs="Calibri"/>
                <w:color w:val="000000"/>
                <w:spacing w:val="-2"/>
              </w:rPr>
              <w:t xml:space="preserve">Niemniej jednak </w:t>
            </w:r>
            <w:r w:rsidR="00412DB3" w:rsidRPr="00957B06">
              <w:rPr>
                <w:rFonts w:cs="Calibri"/>
                <w:color w:val="000000"/>
                <w:spacing w:val="-2"/>
              </w:rPr>
              <w:t>dotacja z budżetu państwa przyznana od 2019 r. do 2025 r. dla F</w:t>
            </w:r>
            <w:r w:rsidR="00F0045D" w:rsidRPr="00957B06">
              <w:rPr>
                <w:rFonts w:cs="Calibri"/>
                <w:color w:val="000000"/>
                <w:spacing w:val="-2"/>
              </w:rPr>
              <w:t xml:space="preserve">unduszu </w:t>
            </w:r>
            <w:r w:rsidR="00412DB3" w:rsidRPr="00957B06">
              <w:rPr>
                <w:rFonts w:cs="Calibri"/>
                <w:color w:val="000000"/>
                <w:spacing w:val="-2"/>
              </w:rPr>
              <w:t>D</w:t>
            </w:r>
            <w:r w:rsidR="00F0045D" w:rsidRPr="00957B06">
              <w:rPr>
                <w:rFonts w:cs="Calibri"/>
                <w:color w:val="000000"/>
                <w:spacing w:val="-2"/>
              </w:rPr>
              <w:t>ostępności</w:t>
            </w:r>
            <w:r w:rsidR="00412DB3" w:rsidRPr="00957B06">
              <w:rPr>
                <w:rFonts w:cs="Calibri"/>
                <w:color w:val="000000"/>
                <w:spacing w:val="-2"/>
              </w:rPr>
              <w:t xml:space="preserve"> wyniosła jedynie 62 mln zł, przy maksymalnym limicie wydatkowym wynikającym z ustawy dla tego okresu łącznie 230 mln zł. Również na 2025 r. dotacja z budżetu państwa jaka została przyznana jest niższa niż kwota określona w ustawie o zapewnieniu dostępności i wyn</w:t>
            </w:r>
            <w:r w:rsidR="00F0045D" w:rsidRPr="00957B06">
              <w:rPr>
                <w:rFonts w:cs="Calibri"/>
                <w:color w:val="000000"/>
                <w:spacing w:val="-2"/>
              </w:rPr>
              <w:t>io</w:t>
            </w:r>
            <w:r w:rsidR="00412DB3" w:rsidRPr="00957B06">
              <w:rPr>
                <w:rFonts w:cs="Calibri"/>
                <w:color w:val="000000"/>
                <w:spacing w:val="-2"/>
              </w:rPr>
              <w:t>s</w:t>
            </w:r>
            <w:r w:rsidR="00F0045D" w:rsidRPr="00957B06">
              <w:rPr>
                <w:rFonts w:cs="Calibri"/>
                <w:color w:val="000000"/>
                <w:spacing w:val="-2"/>
              </w:rPr>
              <w:t>ła</w:t>
            </w:r>
            <w:r w:rsidR="00412DB3" w:rsidRPr="00957B06">
              <w:rPr>
                <w:rFonts w:cs="Calibri"/>
                <w:color w:val="000000"/>
                <w:spacing w:val="-2"/>
              </w:rPr>
              <w:t xml:space="preserve"> 27 mln zł (przy maksymalnym limicie ustawy 36,7 mln zł). </w:t>
            </w:r>
            <w:r w:rsidR="00453CB3" w:rsidRPr="00957B06">
              <w:rPr>
                <w:rFonts w:cs="Calibri"/>
                <w:color w:val="000000"/>
                <w:spacing w:val="-2"/>
              </w:rPr>
              <w:t xml:space="preserve">MFIPR </w:t>
            </w:r>
            <w:r w:rsidR="007B3D0B" w:rsidRPr="00957B06">
              <w:rPr>
                <w:rFonts w:cs="Calibri"/>
                <w:color w:val="000000"/>
                <w:spacing w:val="-2"/>
              </w:rPr>
              <w:t>interweniowało o dokapitalizowanie Funduszu</w:t>
            </w:r>
            <w:r w:rsidR="00453CB3" w:rsidRPr="00957B06">
              <w:rPr>
                <w:rFonts w:cs="Calibri"/>
                <w:color w:val="000000"/>
                <w:spacing w:val="-2"/>
              </w:rPr>
              <w:t xml:space="preserve"> w M</w:t>
            </w:r>
            <w:r w:rsidR="00F0045D" w:rsidRPr="00957B06">
              <w:rPr>
                <w:rFonts w:cs="Calibri"/>
                <w:color w:val="000000"/>
                <w:spacing w:val="-2"/>
              </w:rPr>
              <w:t xml:space="preserve">inisterstwie </w:t>
            </w:r>
            <w:r w:rsidR="00453CB3" w:rsidRPr="00957B06">
              <w:rPr>
                <w:rFonts w:cs="Calibri"/>
                <w:color w:val="000000"/>
                <w:spacing w:val="-2"/>
              </w:rPr>
              <w:t>F</w:t>
            </w:r>
            <w:r w:rsidR="00055FD0" w:rsidRPr="00957B06">
              <w:rPr>
                <w:rFonts w:cs="Calibri"/>
                <w:color w:val="000000"/>
                <w:spacing w:val="-2"/>
              </w:rPr>
              <w:t>inansów</w:t>
            </w:r>
            <w:r w:rsidR="007B3D0B" w:rsidRPr="00957B06">
              <w:rPr>
                <w:rFonts w:cs="Calibri"/>
                <w:color w:val="000000"/>
                <w:spacing w:val="-2"/>
              </w:rPr>
              <w:t>.</w:t>
            </w:r>
            <w:r w:rsidR="007B3D0B" w:rsidRPr="00467BD3">
              <w:rPr>
                <w:rFonts w:cs="Calibri"/>
                <w:color w:val="000000"/>
                <w:spacing w:val="-2"/>
              </w:rPr>
              <w:t xml:space="preserve"> Biorąc pod uwagę zainteresowanie środkami, wnioskowano o podwyższenie od 2027 r. limitów ustawowych do wyso</w:t>
            </w:r>
            <w:r w:rsidR="007B3D0B" w:rsidRPr="00957B06">
              <w:rPr>
                <w:rFonts w:cs="Calibri"/>
                <w:color w:val="000000"/>
                <w:spacing w:val="-2"/>
              </w:rPr>
              <w:t xml:space="preserve">kości ok. 125 mln zł rocznie i przekazanie dotacji z BP w tej wysokości. W tym celu </w:t>
            </w:r>
            <w:proofErr w:type="spellStart"/>
            <w:r w:rsidR="007B3D0B" w:rsidRPr="00957B06">
              <w:rPr>
                <w:rFonts w:cs="Calibri"/>
                <w:color w:val="000000"/>
                <w:spacing w:val="-2"/>
              </w:rPr>
              <w:t>MFiPR</w:t>
            </w:r>
            <w:proofErr w:type="spellEnd"/>
            <w:r w:rsidR="007B3D0B" w:rsidRPr="00957B06">
              <w:rPr>
                <w:rFonts w:cs="Calibri"/>
                <w:color w:val="000000"/>
                <w:spacing w:val="-2"/>
              </w:rPr>
              <w:t xml:space="preserve"> zadeklarowało  gotowość dokonania nowelizacji ustawy o zapewnianiu dostępności osobom ze szczególnymi potrzebami, by odpowiednio dostosować treść jej art. 72. Przedstawiony został również wariant alternatywny - przekazanie środków na 2026 r. i kolejne lata, co najmniej w wysokości limitu wynikającego z </w:t>
            </w:r>
            <w:r w:rsidR="007B3D0B" w:rsidRPr="00957B06">
              <w:rPr>
                <w:rFonts w:cs="Calibri"/>
                <w:color w:val="000000"/>
                <w:spacing w:val="-2"/>
              </w:rPr>
              <w:lastRenderedPageBreak/>
              <w:t>obecnego brzmienia art. 72 ustawy o zapewnianiu dostępności. Obie propozycje zostały odrzuco</w:t>
            </w:r>
            <w:r w:rsidR="0005031D">
              <w:rPr>
                <w:rFonts w:cs="Calibri"/>
                <w:color w:val="000000"/>
                <w:spacing w:val="-2"/>
              </w:rPr>
              <w:t>n</w:t>
            </w:r>
            <w:r w:rsidR="007B3D0B" w:rsidRPr="00957B06">
              <w:rPr>
                <w:rFonts w:cs="Calibri"/>
                <w:color w:val="000000"/>
                <w:spacing w:val="-2"/>
              </w:rPr>
              <w:t xml:space="preserve">e.  </w:t>
            </w:r>
          </w:p>
          <w:p w14:paraId="6B7262B4" w14:textId="7E30F9F7" w:rsidR="00CB7D98" w:rsidRPr="00957B06" w:rsidRDefault="00AA2666" w:rsidP="0054124A">
            <w:pPr>
              <w:pStyle w:val="TableParagraph"/>
              <w:ind w:left="0" w:right="95"/>
              <w:jc w:val="both"/>
              <w:rPr>
                <w:rFonts w:cs="Calibri"/>
                <w:color w:val="000000"/>
                <w:spacing w:val="-2"/>
              </w:rPr>
            </w:pPr>
            <w:r w:rsidRPr="00957B06">
              <w:rPr>
                <w:rFonts w:cs="Calibri"/>
                <w:color w:val="000000"/>
                <w:spacing w:val="-2"/>
              </w:rPr>
              <w:t>W przypadku środków funduszy europejskich można</w:t>
            </w:r>
            <w:r w:rsidR="00CB7D98" w:rsidRPr="00957B06">
              <w:rPr>
                <w:rFonts w:cs="Calibri"/>
                <w:color w:val="000000"/>
                <w:spacing w:val="-2"/>
              </w:rPr>
              <w:t xml:space="preserve"> wyróżnić 2 poziomy wsparcia:</w:t>
            </w:r>
          </w:p>
          <w:p w14:paraId="7BF98F1F" w14:textId="1D18D28A" w:rsidR="00280F38" w:rsidRDefault="00CB7D98" w:rsidP="00467BD3">
            <w:pPr>
              <w:pStyle w:val="TableParagraph"/>
              <w:numPr>
                <w:ilvl w:val="3"/>
                <w:numId w:val="41"/>
              </w:numPr>
              <w:ind w:left="416" w:right="95" w:hanging="283"/>
              <w:rPr>
                <w:rFonts w:cs="Calibri"/>
                <w:color w:val="000000"/>
                <w:spacing w:val="-2"/>
              </w:rPr>
            </w:pPr>
            <w:r w:rsidRPr="00957B06">
              <w:rPr>
                <w:rFonts w:cs="Calibri"/>
                <w:color w:val="000000"/>
                <w:spacing w:val="-2"/>
              </w:rPr>
              <w:t xml:space="preserve">Środki na zapewnienie koordynacji wdrażania ustawy – to głównie dedykowany projekt  pn. </w:t>
            </w:r>
            <w:r w:rsidR="002C3537" w:rsidRPr="00957B06">
              <w:rPr>
                <w:rFonts w:cs="Calibri"/>
                <w:color w:val="000000"/>
                <w:spacing w:val="-2"/>
              </w:rPr>
              <w:t xml:space="preserve"> </w:t>
            </w:r>
            <w:proofErr w:type="spellStart"/>
            <w:r w:rsidRPr="00957B06">
              <w:rPr>
                <w:rFonts w:cs="Calibri"/>
                <w:color w:val="000000"/>
                <w:spacing w:val="-2"/>
              </w:rPr>
              <w:t>Successibility</w:t>
            </w:r>
            <w:proofErr w:type="spellEnd"/>
            <w:r w:rsidRPr="00957B06">
              <w:rPr>
                <w:rFonts w:cs="Calibri"/>
                <w:color w:val="000000"/>
                <w:spacing w:val="-2"/>
              </w:rPr>
              <w:t xml:space="preserve">, realizowany przez MFIPR w </w:t>
            </w:r>
            <w:r w:rsidR="002C3537" w:rsidRPr="00957B06">
              <w:rPr>
                <w:rFonts w:cs="Calibri"/>
                <w:color w:val="000000"/>
                <w:spacing w:val="-2"/>
              </w:rPr>
              <w:t xml:space="preserve">latach 2018 – 2024 </w:t>
            </w:r>
            <w:r w:rsidRPr="00957B06">
              <w:rPr>
                <w:rFonts w:cs="Calibri"/>
                <w:color w:val="000000"/>
                <w:spacing w:val="-2"/>
              </w:rPr>
              <w:t xml:space="preserve"> </w:t>
            </w:r>
            <w:r w:rsidR="009A5B76" w:rsidRPr="00957B06">
              <w:rPr>
                <w:rFonts w:cs="Calibri"/>
                <w:color w:val="000000"/>
                <w:spacing w:val="-2"/>
              </w:rPr>
              <w:t xml:space="preserve"> o wartości ponad 6,7 mln zł</w:t>
            </w:r>
            <w:r w:rsidRPr="00957B06">
              <w:rPr>
                <w:rFonts w:cs="Calibri"/>
                <w:color w:val="000000"/>
                <w:spacing w:val="-2"/>
              </w:rPr>
              <w:t xml:space="preserve"> i jego „następca” projekt pn. „Dostępność.PL” o wartości ok 16</w:t>
            </w:r>
            <w:r w:rsidR="004B1557" w:rsidRPr="00957B06">
              <w:rPr>
                <w:rFonts w:cs="Calibri"/>
                <w:color w:val="000000"/>
                <w:spacing w:val="-2"/>
              </w:rPr>
              <w:t>,5</w:t>
            </w:r>
            <w:r w:rsidRPr="00957B06">
              <w:rPr>
                <w:rFonts w:cs="Calibri"/>
                <w:color w:val="000000"/>
                <w:spacing w:val="-2"/>
              </w:rPr>
              <w:t xml:space="preserve">  mln zł. </w:t>
            </w:r>
            <w:r w:rsidR="00497D2B" w:rsidRPr="00957B06">
              <w:rPr>
                <w:rFonts w:cs="Calibri"/>
                <w:color w:val="000000"/>
                <w:spacing w:val="-2"/>
              </w:rPr>
              <w:t>n</w:t>
            </w:r>
            <w:r w:rsidRPr="00957B06">
              <w:rPr>
                <w:rFonts w:cs="Calibri"/>
                <w:color w:val="000000"/>
                <w:spacing w:val="-2"/>
              </w:rPr>
              <w:t xml:space="preserve">a lata 2025-2028. </w:t>
            </w:r>
            <w:r w:rsidR="00497D2B" w:rsidRPr="00957B06">
              <w:rPr>
                <w:rFonts w:cs="Calibri"/>
                <w:color w:val="000000"/>
                <w:spacing w:val="-2"/>
              </w:rPr>
              <w:t>Z projektu „</w:t>
            </w:r>
            <w:proofErr w:type="spellStart"/>
            <w:r w:rsidR="00497D2B" w:rsidRPr="00957B06">
              <w:rPr>
                <w:rFonts w:cs="Calibri"/>
                <w:color w:val="000000"/>
                <w:spacing w:val="-2"/>
              </w:rPr>
              <w:t>Successibility</w:t>
            </w:r>
            <w:proofErr w:type="spellEnd"/>
            <w:r w:rsidR="00497D2B" w:rsidRPr="00957B06">
              <w:rPr>
                <w:rFonts w:cs="Calibri"/>
                <w:color w:val="000000"/>
                <w:spacing w:val="-2"/>
              </w:rPr>
              <w:t>” f</w:t>
            </w:r>
            <w:r w:rsidR="002C3537" w:rsidRPr="00957B06">
              <w:rPr>
                <w:rFonts w:cs="Calibri"/>
                <w:color w:val="000000"/>
                <w:spacing w:val="-2"/>
              </w:rPr>
              <w:t xml:space="preserve">inansowane były działania zapewniające sprawną koordynację działań sprzyjających wdrażaniu i skuteczności </w:t>
            </w:r>
            <w:r w:rsidR="00BE7B65" w:rsidRPr="00957B06">
              <w:rPr>
                <w:rFonts w:cs="Calibri"/>
                <w:color w:val="000000"/>
                <w:spacing w:val="-2"/>
              </w:rPr>
              <w:t xml:space="preserve">realizacji </w:t>
            </w:r>
            <w:r w:rsidR="002C3537" w:rsidRPr="00957B06">
              <w:rPr>
                <w:rFonts w:cs="Calibri"/>
                <w:color w:val="000000"/>
                <w:spacing w:val="-2"/>
              </w:rPr>
              <w:t>Ustawy</w:t>
            </w:r>
            <w:r w:rsidRPr="00957B06">
              <w:rPr>
                <w:rFonts w:cs="Calibri"/>
                <w:color w:val="000000"/>
                <w:spacing w:val="-2"/>
              </w:rPr>
              <w:t xml:space="preserve">, w tym m.in. </w:t>
            </w:r>
            <w:r w:rsidR="002C3537" w:rsidRPr="00957B06">
              <w:rPr>
                <w:rFonts w:cs="Calibri"/>
                <w:color w:val="000000"/>
                <w:spacing w:val="-2"/>
              </w:rPr>
              <w:t xml:space="preserve">na </w:t>
            </w:r>
            <w:r w:rsidR="009A5B76" w:rsidRPr="00957B06">
              <w:rPr>
                <w:rFonts w:cs="Calibri"/>
                <w:color w:val="000000"/>
                <w:spacing w:val="-2"/>
              </w:rPr>
              <w:t>zapewnienie funkcjonowania Rady Dostępności</w:t>
            </w:r>
            <w:r w:rsidRPr="00957B06">
              <w:rPr>
                <w:rFonts w:cs="Calibri"/>
                <w:color w:val="000000"/>
                <w:spacing w:val="-2"/>
              </w:rPr>
              <w:t>,</w:t>
            </w:r>
            <w:r w:rsidR="009A5B76" w:rsidRPr="00957B06">
              <w:rPr>
                <w:rFonts w:cs="Calibri"/>
                <w:color w:val="000000"/>
                <w:spacing w:val="-2"/>
              </w:rPr>
              <w:t xml:space="preserve"> </w:t>
            </w:r>
            <w:r w:rsidRPr="00957B06">
              <w:rPr>
                <w:rFonts w:cs="Calibri"/>
                <w:color w:val="000000"/>
                <w:spacing w:val="-2"/>
              </w:rPr>
              <w:t>n</w:t>
            </w:r>
            <w:r w:rsidR="009A5B76" w:rsidRPr="00957B06">
              <w:rPr>
                <w:rFonts w:cs="Calibri"/>
                <w:color w:val="000000"/>
                <w:spacing w:val="-2"/>
              </w:rPr>
              <w:t>a rozwijanie inicjatywy Partnerstwa na rzecz dostępności</w:t>
            </w:r>
            <w:r w:rsidR="002C3537" w:rsidRPr="00957B06">
              <w:rPr>
                <w:rFonts w:cs="Calibri"/>
                <w:color w:val="000000"/>
                <w:spacing w:val="-2"/>
              </w:rPr>
              <w:t xml:space="preserve">, w tym promocję dobrych </w:t>
            </w:r>
            <w:r w:rsidRPr="00957B06">
              <w:rPr>
                <w:rFonts w:cs="Calibri"/>
                <w:color w:val="000000"/>
                <w:spacing w:val="-2"/>
              </w:rPr>
              <w:t xml:space="preserve"> praktyk</w:t>
            </w:r>
            <w:r w:rsidR="009A5B76" w:rsidRPr="00957B06">
              <w:rPr>
                <w:rFonts w:cs="Calibri"/>
                <w:color w:val="000000"/>
                <w:spacing w:val="-2"/>
              </w:rPr>
              <w:t>.</w:t>
            </w:r>
            <w:r w:rsidR="002C3537" w:rsidRPr="00957B06">
              <w:rPr>
                <w:rFonts w:cs="Calibri"/>
                <w:color w:val="000000"/>
                <w:spacing w:val="-2"/>
              </w:rPr>
              <w:t xml:space="preserve"> Zdecydowana większość środków została przeznaczona na zapewnienie sprawnej koordynacji procesu wdrażania ustawy oraz działania bezpośrednio związane z wdrażaniem rozwiązań zapisanych w ustawie takich jak mechanizm skargowy, mechanizm certyfikacji, promocja funkcj</w:t>
            </w:r>
            <w:r w:rsidR="00C02F2F" w:rsidRPr="00957B06">
              <w:rPr>
                <w:rFonts w:cs="Calibri"/>
                <w:color w:val="000000"/>
                <w:spacing w:val="-2"/>
              </w:rPr>
              <w:t>i</w:t>
            </w:r>
            <w:r w:rsidR="002C3537" w:rsidRPr="00957B06">
              <w:rPr>
                <w:rFonts w:cs="Calibri"/>
                <w:color w:val="000000"/>
                <w:spacing w:val="-2"/>
              </w:rPr>
              <w:t xml:space="preserve"> koordynatora dostępności</w:t>
            </w:r>
            <w:r w:rsidR="007E4603" w:rsidRPr="00957B06">
              <w:rPr>
                <w:rFonts w:cs="Calibri"/>
                <w:color w:val="000000"/>
                <w:spacing w:val="-2"/>
              </w:rPr>
              <w:t xml:space="preserve"> oraz inne działania</w:t>
            </w:r>
            <w:r w:rsidR="00BE7B65" w:rsidRPr="00957B06">
              <w:rPr>
                <w:rFonts w:cs="Calibri"/>
                <w:color w:val="000000"/>
                <w:spacing w:val="-2"/>
              </w:rPr>
              <w:t>. Z</w:t>
            </w:r>
            <w:r w:rsidR="00865510" w:rsidRPr="00957B06">
              <w:rPr>
                <w:rFonts w:cs="Calibri"/>
                <w:color w:val="000000"/>
                <w:spacing w:val="-2"/>
              </w:rPr>
              <w:t>e</w:t>
            </w:r>
            <w:r w:rsidR="00BE7B65" w:rsidRPr="00957B06">
              <w:rPr>
                <w:rFonts w:cs="Calibri"/>
                <w:color w:val="000000"/>
                <w:spacing w:val="-2"/>
              </w:rPr>
              <w:t xml:space="preserve"> środków tych opracowano dziesiątki </w:t>
            </w:r>
            <w:r w:rsidR="007E4603" w:rsidRPr="00957B06">
              <w:rPr>
                <w:rFonts w:cs="Calibri"/>
                <w:color w:val="000000"/>
                <w:spacing w:val="-2"/>
              </w:rPr>
              <w:t>ekspertyz,</w:t>
            </w:r>
            <w:r w:rsidR="00BE7B65" w:rsidRPr="00957B06">
              <w:rPr>
                <w:rFonts w:cs="Calibri"/>
                <w:color w:val="000000"/>
                <w:spacing w:val="-2"/>
              </w:rPr>
              <w:t xml:space="preserve"> podręczników, poradników dla podmiotów publicznych i innych podmiotów zobowiązanych do wdrażania ustawy.  Ze środków tych finansowane były także działania</w:t>
            </w:r>
            <w:r w:rsidR="007E4603" w:rsidRPr="00957B06">
              <w:rPr>
                <w:rFonts w:cs="Calibri"/>
                <w:color w:val="000000"/>
                <w:spacing w:val="-2"/>
              </w:rPr>
              <w:t xml:space="preserve"> dorad</w:t>
            </w:r>
            <w:r w:rsidR="00BE7B65" w:rsidRPr="00957B06">
              <w:rPr>
                <w:rFonts w:cs="Calibri"/>
                <w:color w:val="000000"/>
                <w:spacing w:val="-2"/>
              </w:rPr>
              <w:t>cze</w:t>
            </w:r>
            <w:r w:rsidR="007E4603" w:rsidRPr="00957B06">
              <w:rPr>
                <w:rFonts w:cs="Calibri"/>
                <w:color w:val="000000"/>
                <w:spacing w:val="-2"/>
              </w:rPr>
              <w:t xml:space="preserve">, </w:t>
            </w:r>
            <w:r w:rsidRPr="00957B06">
              <w:rPr>
                <w:rFonts w:cs="Calibri"/>
                <w:color w:val="000000"/>
                <w:spacing w:val="-2"/>
              </w:rPr>
              <w:t>oraz</w:t>
            </w:r>
            <w:r w:rsidR="007E4603" w:rsidRPr="00957B06">
              <w:rPr>
                <w:rFonts w:cs="Calibri"/>
                <w:color w:val="000000"/>
                <w:spacing w:val="-2"/>
              </w:rPr>
              <w:t xml:space="preserve"> ogólnopolskie badanie stanu dostępności podmiotów publicznych</w:t>
            </w:r>
            <w:r w:rsidR="00BE7B65" w:rsidRPr="00957B06">
              <w:rPr>
                <w:rFonts w:cs="Calibri"/>
                <w:color w:val="000000"/>
                <w:spacing w:val="-2"/>
              </w:rPr>
              <w:t xml:space="preserve">. Zorganizowano szereg </w:t>
            </w:r>
            <w:r w:rsidR="007E4603" w:rsidRPr="00957B06">
              <w:rPr>
                <w:rFonts w:cs="Calibri"/>
                <w:color w:val="000000"/>
                <w:spacing w:val="-2"/>
              </w:rPr>
              <w:t>spotkań, konsultacji i uzgodnień dotyczących rozwoju polityki publicznej na rzecz dostępności</w:t>
            </w:r>
            <w:r w:rsidR="002C3537" w:rsidRPr="00957B06">
              <w:rPr>
                <w:rFonts w:cs="Calibri"/>
                <w:color w:val="000000"/>
                <w:spacing w:val="-2"/>
              </w:rPr>
              <w:t>.</w:t>
            </w:r>
            <w:r w:rsidR="00BE7B65" w:rsidRPr="00957B06">
              <w:rPr>
                <w:rFonts w:cs="Calibri"/>
                <w:color w:val="000000"/>
                <w:spacing w:val="-2"/>
              </w:rPr>
              <w:t xml:space="preserve"> </w:t>
            </w:r>
            <w:r w:rsidR="007A3134" w:rsidRPr="00957B06">
              <w:rPr>
                <w:rFonts w:cs="Calibri"/>
                <w:color w:val="000000"/>
                <w:spacing w:val="-2"/>
              </w:rPr>
              <w:t xml:space="preserve">Sfinansowano także działania informacyjno-promocyjne dot. realizacji ustawy, w tym konkursy, kampanie prasowe, </w:t>
            </w:r>
            <w:r w:rsidR="00ED5F2A" w:rsidRPr="00957B06">
              <w:rPr>
                <w:rFonts w:cs="Calibri"/>
                <w:color w:val="000000"/>
                <w:spacing w:val="-2"/>
              </w:rPr>
              <w:t xml:space="preserve">internetowe czy radiowe. </w:t>
            </w:r>
            <w:r w:rsidR="002242AA" w:rsidRPr="00957B06">
              <w:rPr>
                <w:rFonts w:cs="Calibri"/>
                <w:color w:val="000000"/>
                <w:spacing w:val="-2"/>
              </w:rPr>
              <w:t xml:space="preserve">Na działania te wydatkowano ponad 5,8 mln zł. Aktualnie realizowany jest drugi projekt o podobnym charakterze </w:t>
            </w:r>
            <w:r w:rsidRPr="00957B06">
              <w:rPr>
                <w:rFonts w:cs="Calibri"/>
                <w:color w:val="000000"/>
                <w:spacing w:val="-2"/>
              </w:rPr>
              <w:t xml:space="preserve"> -</w:t>
            </w:r>
            <w:r w:rsidR="00280F38" w:rsidRPr="00957B06">
              <w:rPr>
                <w:rFonts w:cs="Calibri"/>
                <w:color w:val="000000"/>
                <w:spacing w:val="-2"/>
              </w:rPr>
              <w:t>„DOSTĘPNOŚĆ_PL”.</w:t>
            </w:r>
            <w:r w:rsidRPr="00957B06">
              <w:rPr>
                <w:rFonts w:cs="Calibri"/>
                <w:color w:val="000000"/>
                <w:spacing w:val="-2"/>
              </w:rPr>
              <w:t xml:space="preserve"> </w:t>
            </w:r>
            <w:r w:rsidR="00280F38" w:rsidRPr="00957B06">
              <w:rPr>
                <w:rFonts w:cs="Calibri"/>
                <w:color w:val="000000"/>
                <w:spacing w:val="-2"/>
              </w:rPr>
              <w:t xml:space="preserve">Dotychczasowa realizacja projektu jest na poziomie </w:t>
            </w:r>
            <w:r w:rsidR="002F4DC0" w:rsidRPr="00957B06">
              <w:rPr>
                <w:rFonts w:cs="Calibri"/>
                <w:color w:val="000000"/>
                <w:spacing w:val="-2"/>
              </w:rPr>
              <w:t>7</w:t>
            </w:r>
            <w:r w:rsidR="00334C65" w:rsidRPr="00957B06">
              <w:rPr>
                <w:rFonts w:cs="Calibri"/>
                <w:color w:val="000000"/>
                <w:spacing w:val="-2"/>
              </w:rPr>
              <w:t xml:space="preserve"> mln zł</w:t>
            </w:r>
            <w:r w:rsidR="002F4DC0" w:rsidRPr="00957B06">
              <w:rPr>
                <w:rFonts w:cs="Calibri"/>
                <w:color w:val="000000"/>
                <w:spacing w:val="-2"/>
              </w:rPr>
              <w:t xml:space="preserve"> (40%)</w:t>
            </w:r>
            <w:r w:rsidR="00334C65" w:rsidRPr="00957B06">
              <w:rPr>
                <w:rFonts w:cs="Calibri"/>
                <w:color w:val="000000"/>
                <w:spacing w:val="-2"/>
              </w:rPr>
              <w:t xml:space="preserve">. </w:t>
            </w:r>
          </w:p>
          <w:p w14:paraId="6D720AD8" w14:textId="2E64C6BC" w:rsidR="00AA2666" w:rsidRPr="00957B06" w:rsidRDefault="00CB7D98" w:rsidP="00957B06">
            <w:pPr>
              <w:pStyle w:val="TableParagraph"/>
              <w:numPr>
                <w:ilvl w:val="3"/>
                <w:numId w:val="41"/>
              </w:numPr>
              <w:ind w:left="416" w:right="95" w:hanging="283"/>
              <w:rPr>
                <w:rFonts w:cs="Calibri"/>
                <w:color w:val="000000"/>
                <w:spacing w:val="-2"/>
              </w:rPr>
            </w:pPr>
            <w:r w:rsidRPr="00957B06">
              <w:rPr>
                <w:rFonts w:cs="Calibri"/>
                <w:color w:val="000000"/>
                <w:spacing w:val="-2"/>
              </w:rPr>
              <w:t>Drugi poziom to projekty finansowane z funduszy europejskich na rzecz wdrożenia obowiązków ustawowych przez poszczególne rodzaje podmiotów publicznych. Można tu wskazać m.in.</w:t>
            </w:r>
            <w:r w:rsidR="00AA2666" w:rsidRPr="00957B06">
              <w:rPr>
                <w:rFonts w:cs="Calibri"/>
                <w:color w:val="000000"/>
                <w:spacing w:val="-2"/>
              </w:rPr>
              <w:t xml:space="preserve"> środki dedykowane poprawie dostępności w następujących typach podmiotów :</w:t>
            </w:r>
          </w:p>
          <w:p w14:paraId="52A217AD" w14:textId="75947452" w:rsidR="00AA2666" w:rsidRPr="00957B06" w:rsidRDefault="00AA2666" w:rsidP="00610AA3">
            <w:pPr>
              <w:pStyle w:val="TableParagraph"/>
              <w:ind w:left="568" w:right="95"/>
              <w:rPr>
                <w:rFonts w:cs="Calibri"/>
                <w:color w:val="000000"/>
                <w:spacing w:val="-2"/>
              </w:rPr>
            </w:pPr>
            <w:r w:rsidRPr="00957B06">
              <w:rPr>
                <w:rFonts w:cs="Calibri"/>
                <w:color w:val="000000"/>
                <w:spacing w:val="-2"/>
              </w:rPr>
              <w:t>- szkoły i uczelnie (ok.</w:t>
            </w:r>
            <w:r w:rsidR="00382219" w:rsidRPr="00957B06">
              <w:rPr>
                <w:rFonts w:cs="Calibri"/>
                <w:color w:val="000000"/>
                <w:spacing w:val="-2"/>
              </w:rPr>
              <w:t xml:space="preserve"> 1,1 mld</w:t>
            </w:r>
            <w:r w:rsidRPr="00957B06">
              <w:rPr>
                <w:rFonts w:cs="Calibri"/>
                <w:color w:val="000000"/>
                <w:spacing w:val="-2"/>
              </w:rPr>
              <w:t xml:space="preserve"> zł)</w:t>
            </w:r>
          </w:p>
          <w:p w14:paraId="530B9FE4" w14:textId="78E1B30A" w:rsidR="00AA2666" w:rsidRPr="00957B06" w:rsidRDefault="00610AA3" w:rsidP="00610AA3">
            <w:pPr>
              <w:pStyle w:val="TableParagraph"/>
              <w:ind w:left="568" w:right="95"/>
              <w:rPr>
                <w:rFonts w:cs="Calibri"/>
                <w:color w:val="000000"/>
                <w:spacing w:val="-2"/>
              </w:rPr>
            </w:pPr>
            <w:r w:rsidRPr="00957B06">
              <w:rPr>
                <w:rFonts w:cs="Calibri"/>
                <w:color w:val="000000"/>
                <w:spacing w:val="-2"/>
              </w:rPr>
              <w:t xml:space="preserve">- </w:t>
            </w:r>
            <w:r w:rsidR="00AA2666" w:rsidRPr="00957B06">
              <w:rPr>
                <w:rFonts w:cs="Calibri"/>
                <w:color w:val="000000"/>
                <w:spacing w:val="-2"/>
              </w:rPr>
              <w:t>urzędy i jednostki organizacyjne samorządu terytorialnego (</w:t>
            </w:r>
            <w:r w:rsidR="00221E12" w:rsidRPr="00957B06">
              <w:rPr>
                <w:rFonts w:cs="Calibri"/>
                <w:color w:val="000000"/>
                <w:spacing w:val="-2"/>
              </w:rPr>
              <w:t xml:space="preserve">ok. 1,2 </w:t>
            </w:r>
            <w:r w:rsidR="00AA2666" w:rsidRPr="00957B06">
              <w:rPr>
                <w:rFonts w:cs="Calibri"/>
                <w:color w:val="000000"/>
                <w:spacing w:val="-2"/>
              </w:rPr>
              <w:t>ml</w:t>
            </w:r>
            <w:r w:rsidR="00221E12" w:rsidRPr="00957B06">
              <w:rPr>
                <w:rFonts w:cs="Calibri"/>
                <w:color w:val="000000"/>
                <w:spacing w:val="-2"/>
              </w:rPr>
              <w:t>d</w:t>
            </w:r>
            <w:r w:rsidR="00AA2666" w:rsidRPr="00957B06">
              <w:rPr>
                <w:rFonts w:cs="Calibri"/>
                <w:color w:val="000000"/>
                <w:spacing w:val="-2"/>
              </w:rPr>
              <w:t xml:space="preserve"> zł)</w:t>
            </w:r>
          </w:p>
          <w:p w14:paraId="677F4342" w14:textId="20F52B01" w:rsidR="00AA2666" w:rsidRPr="00957B06" w:rsidRDefault="00AA2666" w:rsidP="00610AA3">
            <w:pPr>
              <w:pStyle w:val="TableParagraph"/>
              <w:ind w:left="568" w:right="95"/>
              <w:rPr>
                <w:rFonts w:cs="Calibri"/>
                <w:color w:val="000000"/>
                <w:spacing w:val="-2"/>
              </w:rPr>
            </w:pPr>
            <w:r w:rsidRPr="00957B06">
              <w:rPr>
                <w:rFonts w:cs="Calibri"/>
                <w:color w:val="000000"/>
                <w:spacing w:val="-2"/>
              </w:rPr>
              <w:t>- instytucje kultury</w:t>
            </w:r>
            <w:r w:rsidR="009329E4" w:rsidRPr="00957B06">
              <w:rPr>
                <w:rFonts w:cs="Calibri"/>
                <w:color w:val="000000"/>
                <w:spacing w:val="-2"/>
              </w:rPr>
              <w:t xml:space="preserve"> (ok. 565 mln zł)</w:t>
            </w:r>
          </w:p>
          <w:p w14:paraId="73358D60" w14:textId="0D7E1742" w:rsidR="00AA2666" w:rsidRPr="00957B06" w:rsidRDefault="00AA2666" w:rsidP="00610AA3">
            <w:pPr>
              <w:pStyle w:val="TableParagraph"/>
              <w:ind w:left="568" w:right="95"/>
              <w:rPr>
                <w:rFonts w:cs="Calibri"/>
                <w:color w:val="000000"/>
                <w:spacing w:val="-2"/>
              </w:rPr>
            </w:pPr>
            <w:r w:rsidRPr="00957B06">
              <w:rPr>
                <w:rFonts w:cs="Calibri"/>
                <w:color w:val="000000"/>
                <w:spacing w:val="-2"/>
              </w:rPr>
              <w:t>- sądy</w:t>
            </w:r>
            <w:r w:rsidR="00F85A8E" w:rsidRPr="00957B06">
              <w:rPr>
                <w:rFonts w:cs="Calibri"/>
                <w:color w:val="000000"/>
                <w:spacing w:val="-2"/>
              </w:rPr>
              <w:t xml:space="preserve"> (ok. 20 mln zł)</w:t>
            </w:r>
          </w:p>
          <w:p w14:paraId="32EF226B" w14:textId="179BE980" w:rsidR="00AA2666" w:rsidRPr="00957B06" w:rsidRDefault="00AA2666" w:rsidP="00610AA3">
            <w:pPr>
              <w:pStyle w:val="TableParagraph"/>
              <w:ind w:left="568" w:right="95"/>
              <w:rPr>
                <w:rFonts w:cs="Calibri"/>
                <w:color w:val="000000"/>
                <w:spacing w:val="-2"/>
              </w:rPr>
            </w:pPr>
            <w:r w:rsidRPr="00957B06">
              <w:rPr>
                <w:rFonts w:cs="Calibri"/>
                <w:color w:val="000000"/>
                <w:spacing w:val="-2"/>
              </w:rPr>
              <w:t>- ośrodki sportu i rekreacji (ok. 50 mln zł)</w:t>
            </w:r>
          </w:p>
          <w:p w14:paraId="4629BE17" w14:textId="5C51A7DC" w:rsidR="00CF1B96" w:rsidRPr="00957B06" w:rsidRDefault="00AA2666" w:rsidP="00957B06">
            <w:pPr>
              <w:pStyle w:val="TableParagraph"/>
              <w:ind w:left="568" w:right="95"/>
              <w:rPr>
                <w:rFonts w:cs="Calibri"/>
                <w:color w:val="000000"/>
                <w:spacing w:val="-2"/>
              </w:rPr>
            </w:pPr>
            <w:r w:rsidRPr="00957B06">
              <w:rPr>
                <w:rFonts w:cs="Calibri"/>
                <w:color w:val="000000"/>
                <w:spacing w:val="-2"/>
              </w:rPr>
              <w:t xml:space="preserve"> </w:t>
            </w:r>
            <w:r w:rsidR="00467BD3">
              <w:rPr>
                <w:rFonts w:cs="Calibri"/>
                <w:color w:val="000000"/>
                <w:spacing w:val="-2"/>
              </w:rPr>
              <w:t xml:space="preserve">- </w:t>
            </w:r>
            <w:r w:rsidRPr="00467BD3">
              <w:rPr>
                <w:rFonts w:cs="Calibri"/>
                <w:color w:val="000000"/>
                <w:spacing w:val="-2"/>
              </w:rPr>
              <w:t xml:space="preserve">parki </w:t>
            </w:r>
            <w:r w:rsidR="00382219" w:rsidRPr="00957B06">
              <w:rPr>
                <w:rFonts w:cs="Calibri"/>
                <w:color w:val="000000"/>
                <w:spacing w:val="-2"/>
              </w:rPr>
              <w:t>przyrodnicze</w:t>
            </w:r>
            <w:r w:rsidRPr="00957B06">
              <w:rPr>
                <w:rFonts w:cs="Calibri"/>
                <w:color w:val="000000"/>
                <w:spacing w:val="-2"/>
              </w:rPr>
              <w:t xml:space="preserve"> (</w:t>
            </w:r>
            <w:r w:rsidR="00382219" w:rsidRPr="00957B06">
              <w:rPr>
                <w:rFonts w:cs="Calibri"/>
                <w:color w:val="000000"/>
                <w:spacing w:val="-2"/>
              </w:rPr>
              <w:t>ok. 8 mln zł)</w:t>
            </w:r>
            <w:r w:rsidR="00610AA3" w:rsidRPr="00957B06">
              <w:rPr>
                <w:rFonts w:cs="Calibri"/>
                <w:color w:val="000000"/>
                <w:spacing w:val="-2"/>
              </w:rPr>
              <w:t>.</w:t>
            </w:r>
          </w:p>
        </w:tc>
      </w:tr>
    </w:tbl>
    <w:p w14:paraId="0D09A7F0" w14:textId="77777777" w:rsidR="009C15F8" w:rsidRPr="00957B06" w:rsidRDefault="009C15F8">
      <w:pPr>
        <w:jc w:val="both"/>
        <w:sectPr w:rsidR="009C15F8" w:rsidRPr="00957B06">
          <w:pgSz w:w="11910" w:h="16840"/>
          <w:pgMar w:top="480" w:right="300" w:bottom="280" w:left="320" w:header="708" w:footer="708" w:gutter="0"/>
          <w:cols w:space="708"/>
        </w:sectPr>
      </w:pPr>
    </w:p>
    <w:p w14:paraId="4F8607B4" w14:textId="77777777" w:rsidR="009C15F8" w:rsidRPr="00957B06" w:rsidRDefault="009C15F8">
      <w:pPr>
        <w:pStyle w:val="Tekstpodstawowy"/>
        <w:spacing w:before="7"/>
        <w:rPr>
          <w:sz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3686"/>
        <w:gridCol w:w="3689"/>
      </w:tblGrid>
      <w:tr w:rsidR="00C0106C" w:rsidRPr="00957B06" w14:paraId="423D76C7" w14:textId="77777777">
        <w:trPr>
          <w:trHeight w:val="505"/>
        </w:trPr>
        <w:tc>
          <w:tcPr>
            <w:tcW w:w="11057" w:type="dxa"/>
            <w:gridSpan w:val="3"/>
            <w:shd w:val="clear" w:color="auto" w:fill="53A824"/>
          </w:tcPr>
          <w:p w14:paraId="3AED720F" w14:textId="77777777" w:rsidR="009C15F8" w:rsidRPr="00957B06" w:rsidRDefault="00E06656">
            <w:pPr>
              <w:pStyle w:val="TableParagraph"/>
              <w:spacing w:line="250" w:lineRule="atLeast"/>
              <w:ind w:left="468" w:hanging="360"/>
              <w:rPr>
                <w:b/>
              </w:rPr>
            </w:pPr>
            <w:r w:rsidRPr="00957B06">
              <w:rPr>
                <w:b/>
              </w:rPr>
              <w:t>4.</w:t>
            </w:r>
            <w:r w:rsidRPr="00957B06">
              <w:rPr>
                <w:b/>
                <w:spacing w:val="80"/>
                <w:w w:val="150"/>
              </w:rPr>
              <w:t xml:space="preserve"> </w:t>
            </w:r>
            <w:r w:rsidRPr="00957B06">
              <w:rPr>
                <w:b/>
              </w:rPr>
              <w:t>Koszty</w:t>
            </w:r>
            <w:r w:rsidRPr="00957B06">
              <w:rPr>
                <w:b/>
                <w:spacing w:val="34"/>
              </w:rPr>
              <w:t xml:space="preserve"> </w:t>
            </w:r>
            <w:r w:rsidRPr="00957B06">
              <w:rPr>
                <w:b/>
              </w:rPr>
              <w:t>i</w:t>
            </w:r>
            <w:r w:rsidRPr="00957B06">
              <w:rPr>
                <w:b/>
                <w:spacing w:val="34"/>
              </w:rPr>
              <w:t xml:space="preserve"> </w:t>
            </w:r>
            <w:r w:rsidRPr="00957B06">
              <w:rPr>
                <w:b/>
              </w:rPr>
              <w:t>korzyści</w:t>
            </w:r>
            <w:r w:rsidRPr="00957B06">
              <w:rPr>
                <w:b/>
                <w:spacing w:val="35"/>
              </w:rPr>
              <w:t xml:space="preserve"> </w:t>
            </w:r>
            <w:r w:rsidRPr="00957B06">
              <w:rPr>
                <w:b/>
              </w:rPr>
              <w:t>związane</w:t>
            </w:r>
            <w:r w:rsidRPr="00957B06">
              <w:rPr>
                <w:b/>
                <w:spacing w:val="35"/>
              </w:rPr>
              <w:t xml:space="preserve"> </w:t>
            </w:r>
            <w:r w:rsidRPr="00957B06">
              <w:rPr>
                <w:b/>
              </w:rPr>
              <w:t>z</w:t>
            </w:r>
            <w:r w:rsidRPr="00957B06">
              <w:rPr>
                <w:b/>
                <w:spacing w:val="34"/>
              </w:rPr>
              <w:t xml:space="preserve"> </w:t>
            </w:r>
            <w:r w:rsidRPr="00957B06">
              <w:rPr>
                <w:b/>
              </w:rPr>
              <w:t>funkcjonowaniem</w:t>
            </w:r>
            <w:r w:rsidRPr="00957B06">
              <w:rPr>
                <w:b/>
                <w:spacing w:val="34"/>
              </w:rPr>
              <w:t xml:space="preserve"> </w:t>
            </w:r>
            <w:r w:rsidRPr="00957B06">
              <w:rPr>
                <w:b/>
              </w:rPr>
              <w:t>ustawy</w:t>
            </w:r>
            <w:r w:rsidRPr="00957B06">
              <w:rPr>
                <w:b/>
                <w:spacing w:val="34"/>
              </w:rPr>
              <w:t xml:space="preserve"> </w:t>
            </w:r>
            <w:r w:rsidRPr="00957B06">
              <w:rPr>
                <w:b/>
              </w:rPr>
              <w:t>(zakładane</w:t>
            </w:r>
            <w:r w:rsidRPr="00957B06">
              <w:rPr>
                <w:b/>
                <w:spacing w:val="35"/>
              </w:rPr>
              <w:t xml:space="preserve"> </w:t>
            </w:r>
            <w:r w:rsidRPr="00957B06">
              <w:rPr>
                <w:b/>
              </w:rPr>
              <w:t>i</w:t>
            </w:r>
            <w:r w:rsidRPr="00957B06">
              <w:rPr>
                <w:b/>
                <w:spacing w:val="34"/>
              </w:rPr>
              <w:t xml:space="preserve"> </w:t>
            </w:r>
            <w:r w:rsidRPr="00957B06">
              <w:rPr>
                <w:b/>
              </w:rPr>
              <w:t>faktyczne,</w:t>
            </w:r>
            <w:r w:rsidRPr="00957B06">
              <w:rPr>
                <w:b/>
                <w:spacing w:val="34"/>
              </w:rPr>
              <w:t xml:space="preserve"> </w:t>
            </w:r>
            <w:r w:rsidRPr="00957B06">
              <w:rPr>
                <w:b/>
              </w:rPr>
              <w:t>w</w:t>
            </w:r>
            <w:r w:rsidRPr="00957B06">
              <w:rPr>
                <w:b/>
                <w:spacing w:val="34"/>
              </w:rPr>
              <w:t xml:space="preserve"> </w:t>
            </w:r>
            <w:r w:rsidRPr="00957B06">
              <w:rPr>
                <w:b/>
              </w:rPr>
              <w:t>tym</w:t>
            </w:r>
            <w:r w:rsidRPr="00957B06">
              <w:rPr>
                <w:b/>
                <w:spacing w:val="34"/>
              </w:rPr>
              <w:t xml:space="preserve"> </w:t>
            </w:r>
            <w:r w:rsidRPr="00957B06">
              <w:rPr>
                <w:b/>
              </w:rPr>
              <w:t>korzyści</w:t>
            </w:r>
            <w:r w:rsidRPr="00957B06">
              <w:rPr>
                <w:b/>
                <w:spacing w:val="35"/>
              </w:rPr>
              <w:t xml:space="preserve"> </w:t>
            </w:r>
            <w:r w:rsidRPr="00957B06">
              <w:rPr>
                <w:b/>
              </w:rPr>
              <w:t>i</w:t>
            </w:r>
            <w:r w:rsidRPr="00957B06">
              <w:rPr>
                <w:b/>
                <w:spacing w:val="34"/>
              </w:rPr>
              <w:t xml:space="preserve"> </w:t>
            </w:r>
            <w:r w:rsidRPr="00957B06">
              <w:rPr>
                <w:b/>
              </w:rPr>
              <w:t>koszty</w:t>
            </w:r>
            <w:r w:rsidRPr="00957B06">
              <w:rPr>
                <w:b/>
                <w:spacing w:val="34"/>
              </w:rPr>
              <w:t xml:space="preserve"> </w:t>
            </w:r>
            <w:r w:rsidRPr="00957B06">
              <w:rPr>
                <w:b/>
              </w:rPr>
              <w:t>dla podmiotów niebędących bezpośrednio w zakresie oddziaływania ustawy)</w:t>
            </w:r>
          </w:p>
        </w:tc>
      </w:tr>
      <w:tr w:rsidR="009C15F8" w:rsidRPr="00957B06" w14:paraId="0169A0AF" w14:textId="77777777">
        <w:trPr>
          <w:trHeight w:val="505"/>
        </w:trPr>
        <w:tc>
          <w:tcPr>
            <w:tcW w:w="3682" w:type="dxa"/>
            <w:shd w:val="clear" w:color="auto" w:fill="53A824"/>
          </w:tcPr>
          <w:p w14:paraId="4B027527" w14:textId="77777777" w:rsidR="009C15F8" w:rsidRPr="00957B06" w:rsidRDefault="00E06656">
            <w:pPr>
              <w:pStyle w:val="TableParagraph"/>
              <w:ind w:left="7" w:right="1"/>
              <w:jc w:val="center"/>
            </w:pPr>
            <w:r w:rsidRPr="00957B06">
              <w:t>4.1</w:t>
            </w:r>
            <w:r w:rsidRPr="00957B06">
              <w:rPr>
                <w:spacing w:val="-5"/>
              </w:rPr>
              <w:t xml:space="preserve"> </w:t>
            </w:r>
            <w:r w:rsidRPr="00957B06">
              <w:t>Sytuacja</w:t>
            </w:r>
            <w:r w:rsidRPr="00957B06">
              <w:rPr>
                <w:spacing w:val="-4"/>
              </w:rPr>
              <w:t xml:space="preserve"> </w:t>
            </w:r>
            <w:r w:rsidRPr="00957B06">
              <w:t>przed</w:t>
            </w:r>
            <w:r w:rsidRPr="00957B06">
              <w:rPr>
                <w:spacing w:val="-3"/>
              </w:rPr>
              <w:t xml:space="preserve"> </w:t>
            </w:r>
            <w:r w:rsidRPr="00957B06">
              <w:t>wejściem</w:t>
            </w:r>
            <w:r w:rsidRPr="00957B06">
              <w:rPr>
                <w:spacing w:val="-4"/>
              </w:rPr>
              <w:t xml:space="preserve"> </w:t>
            </w:r>
            <w:r w:rsidRPr="00957B06">
              <w:t>w</w:t>
            </w:r>
            <w:r w:rsidRPr="00957B06">
              <w:rPr>
                <w:spacing w:val="-3"/>
              </w:rPr>
              <w:t xml:space="preserve"> </w:t>
            </w:r>
            <w:r w:rsidRPr="00957B06">
              <w:rPr>
                <w:spacing w:val="-2"/>
              </w:rPr>
              <w:t>życie</w:t>
            </w:r>
          </w:p>
          <w:p w14:paraId="3855303C" w14:textId="77777777" w:rsidR="009C15F8" w:rsidRPr="00957B06" w:rsidRDefault="00E06656">
            <w:pPr>
              <w:pStyle w:val="TableParagraph"/>
              <w:spacing w:line="233" w:lineRule="exact"/>
              <w:ind w:left="7"/>
              <w:jc w:val="center"/>
            </w:pPr>
            <w:r w:rsidRPr="00957B06">
              <w:t>ustawy</w:t>
            </w:r>
            <w:r w:rsidRPr="00957B06">
              <w:rPr>
                <w:spacing w:val="-6"/>
              </w:rPr>
              <w:t xml:space="preserve"> </w:t>
            </w:r>
            <w:r w:rsidRPr="00957B06">
              <w:t>(scenariusz</w:t>
            </w:r>
            <w:r w:rsidRPr="00957B06">
              <w:rPr>
                <w:spacing w:val="-5"/>
              </w:rPr>
              <w:t xml:space="preserve"> </w:t>
            </w:r>
            <w:r w:rsidRPr="00957B06">
              <w:rPr>
                <w:spacing w:val="-2"/>
              </w:rPr>
              <w:t>bazowy)</w:t>
            </w:r>
          </w:p>
        </w:tc>
        <w:tc>
          <w:tcPr>
            <w:tcW w:w="3686" w:type="dxa"/>
            <w:shd w:val="clear" w:color="auto" w:fill="53A824"/>
          </w:tcPr>
          <w:p w14:paraId="37284A2F" w14:textId="77777777" w:rsidR="009C15F8" w:rsidRPr="00957B06" w:rsidRDefault="00E06656">
            <w:pPr>
              <w:pStyle w:val="TableParagraph"/>
              <w:ind w:left="8"/>
              <w:jc w:val="center"/>
            </w:pPr>
            <w:r w:rsidRPr="00957B06">
              <w:t>4.2</w:t>
            </w:r>
            <w:r w:rsidRPr="00957B06">
              <w:rPr>
                <w:spacing w:val="-4"/>
              </w:rPr>
              <w:t xml:space="preserve"> </w:t>
            </w:r>
            <w:r w:rsidRPr="00957B06">
              <w:t>Korzyści</w:t>
            </w:r>
            <w:r w:rsidRPr="00957B06">
              <w:rPr>
                <w:spacing w:val="-5"/>
              </w:rPr>
              <w:t xml:space="preserve"> </w:t>
            </w:r>
            <w:r w:rsidRPr="00957B06">
              <w:t>z</w:t>
            </w:r>
            <w:r w:rsidRPr="00957B06">
              <w:rPr>
                <w:spacing w:val="-3"/>
              </w:rPr>
              <w:t xml:space="preserve"> </w:t>
            </w:r>
            <w:r w:rsidRPr="00957B06">
              <w:t>przyjęcia</w:t>
            </w:r>
            <w:r w:rsidRPr="00957B06">
              <w:rPr>
                <w:spacing w:val="-4"/>
              </w:rPr>
              <w:t xml:space="preserve"> </w:t>
            </w:r>
            <w:r w:rsidRPr="00957B06">
              <w:rPr>
                <w:spacing w:val="-2"/>
              </w:rPr>
              <w:t>ustawy</w:t>
            </w:r>
          </w:p>
          <w:p w14:paraId="1FB2C57E" w14:textId="77777777" w:rsidR="009C15F8" w:rsidRPr="00957B06" w:rsidRDefault="00E06656">
            <w:pPr>
              <w:pStyle w:val="TableParagraph"/>
              <w:spacing w:line="233" w:lineRule="exact"/>
              <w:ind w:left="8" w:right="1"/>
              <w:jc w:val="center"/>
            </w:pPr>
            <w:r w:rsidRPr="00957B06">
              <w:t>zakładane</w:t>
            </w:r>
            <w:r w:rsidRPr="00957B06">
              <w:rPr>
                <w:spacing w:val="-5"/>
              </w:rPr>
              <w:t xml:space="preserve"> </w:t>
            </w:r>
            <w:r w:rsidRPr="00957B06">
              <w:t>przed</w:t>
            </w:r>
            <w:r w:rsidRPr="00957B06">
              <w:rPr>
                <w:spacing w:val="-3"/>
              </w:rPr>
              <w:t xml:space="preserve"> </w:t>
            </w:r>
            <w:r w:rsidRPr="00957B06">
              <w:t>jej</w:t>
            </w:r>
            <w:r w:rsidRPr="00957B06">
              <w:rPr>
                <w:spacing w:val="-4"/>
              </w:rPr>
              <w:t xml:space="preserve"> </w:t>
            </w:r>
            <w:r w:rsidRPr="00957B06">
              <w:t>wejściem</w:t>
            </w:r>
            <w:r w:rsidRPr="00957B06">
              <w:rPr>
                <w:spacing w:val="-4"/>
              </w:rPr>
              <w:t xml:space="preserve"> </w:t>
            </w:r>
            <w:r w:rsidRPr="00957B06">
              <w:t>w</w:t>
            </w:r>
            <w:r w:rsidRPr="00957B06">
              <w:rPr>
                <w:spacing w:val="-4"/>
              </w:rPr>
              <w:t xml:space="preserve"> </w:t>
            </w:r>
            <w:r w:rsidRPr="00957B06">
              <w:rPr>
                <w:spacing w:val="-2"/>
              </w:rPr>
              <w:t>życie:</w:t>
            </w:r>
          </w:p>
        </w:tc>
        <w:tc>
          <w:tcPr>
            <w:tcW w:w="3689" w:type="dxa"/>
            <w:shd w:val="clear" w:color="auto" w:fill="53A824"/>
          </w:tcPr>
          <w:p w14:paraId="284F3323" w14:textId="77777777" w:rsidR="009C15F8" w:rsidRPr="00957B06" w:rsidRDefault="00E06656">
            <w:pPr>
              <w:pStyle w:val="TableParagraph"/>
              <w:spacing w:line="250" w:lineRule="atLeast"/>
              <w:ind w:left="796" w:hanging="575"/>
            </w:pPr>
            <w:r w:rsidRPr="00957B06">
              <w:t>4.4</w:t>
            </w:r>
            <w:r w:rsidRPr="00957B06">
              <w:rPr>
                <w:spacing w:val="-10"/>
              </w:rPr>
              <w:t xml:space="preserve"> </w:t>
            </w:r>
            <w:r w:rsidRPr="00957B06">
              <w:t>Faktyczne</w:t>
            </w:r>
            <w:r w:rsidRPr="00957B06">
              <w:rPr>
                <w:spacing w:val="-11"/>
              </w:rPr>
              <w:t xml:space="preserve"> </w:t>
            </w:r>
            <w:r w:rsidRPr="00957B06">
              <w:t>korzyści</w:t>
            </w:r>
            <w:r w:rsidRPr="00957B06">
              <w:rPr>
                <w:spacing w:val="-11"/>
              </w:rPr>
              <w:t xml:space="preserve"> </w:t>
            </w:r>
            <w:r w:rsidRPr="00957B06">
              <w:t>wynikające</w:t>
            </w:r>
            <w:r w:rsidRPr="00957B06">
              <w:rPr>
                <w:spacing w:val="-11"/>
              </w:rPr>
              <w:t xml:space="preserve"> </w:t>
            </w:r>
            <w:r w:rsidRPr="00957B06">
              <w:t>z funkcjonowania ustawy</w:t>
            </w:r>
          </w:p>
        </w:tc>
      </w:tr>
      <w:tr w:rsidR="009C15F8" w:rsidRPr="00957B06" w14:paraId="5C602E74" w14:textId="77777777">
        <w:trPr>
          <w:trHeight w:val="4047"/>
        </w:trPr>
        <w:tc>
          <w:tcPr>
            <w:tcW w:w="3682" w:type="dxa"/>
          </w:tcPr>
          <w:p w14:paraId="2AC527D3" w14:textId="3BA0A731" w:rsidR="00851FB0" w:rsidRPr="00957B06" w:rsidRDefault="00851FB0" w:rsidP="00851FB0">
            <w:pPr>
              <w:rPr>
                <w:rFonts w:cs="Calibri"/>
                <w:color w:val="000000"/>
              </w:rPr>
            </w:pPr>
            <w:r w:rsidRPr="00957B06">
              <w:rPr>
                <w:rFonts w:cs="Calibri"/>
                <w:color w:val="000000"/>
              </w:rPr>
              <w:t>Diagnozę sytuacji przed wejściem w życie ustawy oparto o dostępne dane, w wymiarze dostępności architektonicznej, transportowej, cyfrowej oraz między innymi w dostępie do edukacji, zdrowia i kultury. Stan dostępności obraz</w:t>
            </w:r>
            <w:r w:rsidR="004672E7" w:rsidRPr="00957B06">
              <w:rPr>
                <w:rFonts w:cs="Calibri"/>
                <w:color w:val="000000"/>
              </w:rPr>
              <w:t>o</w:t>
            </w:r>
            <w:r w:rsidRPr="00957B06">
              <w:rPr>
                <w:rFonts w:cs="Calibri"/>
                <w:color w:val="000000"/>
              </w:rPr>
              <w:t>wały także wyrywkowe badania, prowadzone przez Najwyższą Izbę Kontroli (NIK) na poziomie miast wojewódzkich lub wybranych powiatów oraz przez różne organizacje pozarządowe zajmujące się tą tematyką. Z danych wynika</w:t>
            </w:r>
            <w:r w:rsidR="00D943B9" w:rsidRPr="00957B06">
              <w:rPr>
                <w:rFonts w:cs="Calibri"/>
                <w:color w:val="000000"/>
              </w:rPr>
              <w:t>ło</w:t>
            </w:r>
            <w:r w:rsidRPr="00957B06">
              <w:rPr>
                <w:rFonts w:cs="Calibri"/>
                <w:color w:val="000000"/>
              </w:rPr>
              <w:t xml:space="preserve">, że kondycja dostępności środowiska zurbanizowanego była niesatysfakcjonująca. </w:t>
            </w:r>
            <w:r w:rsidR="00D943B9" w:rsidRPr="00957B06">
              <w:rPr>
                <w:rFonts w:cs="Calibri"/>
                <w:color w:val="000000"/>
              </w:rPr>
              <w:t xml:space="preserve">Na podstawie kontroli prowadzonych przez NIK, </w:t>
            </w:r>
            <w:r w:rsidRPr="00957B06">
              <w:rPr>
                <w:rFonts w:cs="Calibri"/>
                <w:color w:val="000000"/>
              </w:rPr>
              <w:t xml:space="preserve">działania, dotyczące dostosowania przestrzeni publicznej do potrzeb osób z różnymi </w:t>
            </w:r>
            <w:proofErr w:type="spellStart"/>
            <w:r w:rsidRPr="00957B06">
              <w:rPr>
                <w:rFonts w:cs="Calibri"/>
                <w:color w:val="000000"/>
              </w:rPr>
              <w:t>niepełnosprawnościami</w:t>
            </w:r>
            <w:proofErr w:type="spellEnd"/>
            <w:r w:rsidRPr="00957B06">
              <w:rPr>
                <w:rFonts w:cs="Calibri"/>
                <w:color w:val="000000"/>
              </w:rPr>
              <w:t xml:space="preserve"> okazały się nieskuteczne. Przeprowadzona przez NIK ocena 94 obiektów pod kątem ich dostępności dla osób z ograniczoną sprawnością wykazała, że żaden z tych obiektów nie był wolny od barier, rozwiązań lub niedogodności ograniczających lub wręcz uniemożliwiających korzystanie z nich przez osoby z niepełnosprawnościami na zasadzie równości z innymi osobami. W gminach brakowało też planu usuwania istniejących barier, co skutkowało brakiem harmonogramów podejmowania działań w tym kierunku. Ponad połowa ze skontrolowanych gmin nie posiadała planu usuwania barier i działań na rzecz poprawy dostępności przestrzeni publicznej</w:t>
            </w:r>
            <w:r w:rsidR="00D943B9" w:rsidRPr="00957B06">
              <w:rPr>
                <w:rFonts w:cs="Calibri"/>
                <w:color w:val="000000"/>
              </w:rPr>
              <w:t>. Identyfikowano</w:t>
            </w:r>
            <w:r w:rsidRPr="00957B06">
              <w:rPr>
                <w:rFonts w:cs="Calibri"/>
                <w:color w:val="000000"/>
              </w:rPr>
              <w:t xml:space="preserve"> braki systematycznego monitorowania przez gminy skuteczności działań poprawiających dostępność przestrzeni publicznej, szczególnie wobec stale rosnącej liczby mieszkańców w wieku powyżej 60 lat. W niektórych dużych miastach, gdzie  inwestycje samorządowe są prowadzone na szeroką skalę podejmowan</w:t>
            </w:r>
            <w:r w:rsidR="00D943B9" w:rsidRPr="00957B06">
              <w:rPr>
                <w:rFonts w:cs="Calibri"/>
                <w:color w:val="000000"/>
              </w:rPr>
              <w:t>o</w:t>
            </w:r>
            <w:r w:rsidRPr="00957B06">
              <w:rPr>
                <w:rFonts w:cs="Calibri"/>
                <w:color w:val="000000"/>
              </w:rPr>
              <w:t xml:space="preserve"> próby przyjmowania lokalnych standardów dostępności (np. Warszawa, Gdynia). Mniejsze samorządy </w:t>
            </w:r>
            <w:r w:rsidR="00D943B9" w:rsidRPr="00957B06">
              <w:rPr>
                <w:rFonts w:cs="Calibri"/>
                <w:color w:val="000000"/>
              </w:rPr>
              <w:t>były</w:t>
            </w:r>
            <w:r w:rsidRPr="00957B06">
              <w:rPr>
                <w:rFonts w:cs="Calibri"/>
                <w:color w:val="000000"/>
              </w:rPr>
              <w:t xml:space="preserve"> z reguły w trudniejszej sytuacji, a na wsiach praktycznie nie </w:t>
            </w:r>
            <w:r w:rsidR="00D943B9" w:rsidRPr="00957B06">
              <w:rPr>
                <w:rFonts w:cs="Calibri"/>
                <w:color w:val="000000"/>
              </w:rPr>
              <w:t>było</w:t>
            </w:r>
            <w:r w:rsidRPr="00957B06">
              <w:rPr>
                <w:rFonts w:cs="Calibri"/>
                <w:color w:val="000000"/>
              </w:rPr>
              <w:t xml:space="preserve"> usprawnień dla osób z niepełnosprawnościami. N</w:t>
            </w:r>
            <w:r w:rsidR="00D943B9" w:rsidRPr="00957B06">
              <w:rPr>
                <w:rFonts w:cs="Calibri"/>
                <w:color w:val="000000"/>
              </w:rPr>
              <w:t xml:space="preserve">IK </w:t>
            </w:r>
            <w:r w:rsidRPr="00957B06">
              <w:rPr>
                <w:rFonts w:cs="Calibri"/>
                <w:color w:val="000000"/>
              </w:rPr>
              <w:t xml:space="preserve"> równie negatywnie oceni</w:t>
            </w:r>
            <w:r w:rsidR="00D943B9" w:rsidRPr="00957B06">
              <w:rPr>
                <w:rFonts w:cs="Calibri"/>
                <w:color w:val="000000"/>
              </w:rPr>
              <w:t>ł</w:t>
            </w:r>
            <w:r w:rsidRPr="00957B06">
              <w:rPr>
                <w:rFonts w:cs="Calibri"/>
                <w:color w:val="000000"/>
              </w:rPr>
              <w:t xml:space="preserve"> stan dostępności nowo</w:t>
            </w:r>
            <w:r w:rsidR="00D943B9" w:rsidRPr="00957B06">
              <w:rPr>
                <w:rFonts w:cs="Calibri"/>
                <w:color w:val="000000"/>
              </w:rPr>
              <w:t xml:space="preserve"> </w:t>
            </w:r>
            <w:r w:rsidRPr="00957B06">
              <w:rPr>
                <w:rFonts w:cs="Calibri"/>
                <w:color w:val="000000"/>
              </w:rPr>
              <w:t>budowanych lub przebudowywanych obiektów użyteczności publicznej. Spośród 121 skontrolowanych obiektów, 90</w:t>
            </w:r>
            <w:r w:rsidR="00D943B9" w:rsidRPr="00957B06">
              <w:rPr>
                <w:rFonts w:cs="Calibri"/>
                <w:color w:val="000000"/>
              </w:rPr>
              <w:t xml:space="preserve">% </w:t>
            </w:r>
            <w:r w:rsidRPr="00957B06">
              <w:rPr>
                <w:rFonts w:cs="Calibri"/>
                <w:color w:val="000000"/>
              </w:rPr>
              <w:t>nie zostało dostosowanych do potrzeb i możliwości osób poruszające się na wózkach inwalidzkich. Jak wynika</w:t>
            </w:r>
            <w:r w:rsidR="00D943B9" w:rsidRPr="00957B06">
              <w:rPr>
                <w:rFonts w:cs="Calibri"/>
                <w:color w:val="000000"/>
              </w:rPr>
              <w:t>ło</w:t>
            </w:r>
            <w:r w:rsidRPr="00957B06">
              <w:rPr>
                <w:rFonts w:cs="Calibri"/>
                <w:color w:val="000000"/>
              </w:rPr>
              <w:t xml:space="preserve"> z </w:t>
            </w:r>
            <w:r w:rsidRPr="00957B06">
              <w:rPr>
                <w:rFonts w:cs="Calibri"/>
                <w:color w:val="000000"/>
              </w:rPr>
              <w:lastRenderedPageBreak/>
              <w:t xml:space="preserve">opublikowanych wyników kontroli, przeprowadzonych przez NIK w różnych województwach w latach 2015-2018, skontrolowano ok. 200 zakończonych inwestycji dotyczących budynków użyteczności publicznej i mieszkalnego budownictwa wielorodzinnego budowanych w latach 2012-2015 oraz 30 podmiotów administracji publicznej. Kontrole organów administracji publicznej zostały przeprowadzone w 30 podmiotach. W większości analizowanych raportów pokontrolnych średnio 45,7 proc. obiektów zapewniało niezbędne warunki do korzystania z nich przez osoby z niepełnosprawnością. </w:t>
            </w:r>
          </w:p>
          <w:p w14:paraId="68958B10" w14:textId="43A197CF" w:rsidR="00851FB0" w:rsidRPr="00957B06" w:rsidRDefault="00D943B9" w:rsidP="00851FB0">
            <w:pPr>
              <w:rPr>
                <w:rFonts w:cs="Calibri"/>
                <w:color w:val="000000"/>
              </w:rPr>
            </w:pPr>
            <w:r w:rsidRPr="00957B06">
              <w:rPr>
                <w:rFonts w:cs="Calibri"/>
                <w:color w:val="000000"/>
              </w:rPr>
              <w:t xml:space="preserve">Podobne wyniki zanotowano podczas kontroli uczelni </w:t>
            </w:r>
            <w:r w:rsidR="00EB6E8B" w:rsidRPr="00957B06">
              <w:rPr>
                <w:rFonts w:cs="Calibri"/>
                <w:color w:val="000000"/>
              </w:rPr>
              <w:t>akademickich i zawodowych</w:t>
            </w:r>
            <w:r w:rsidRPr="00957B06">
              <w:rPr>
                <w:rFonts w:cs="Calibri"/>
                <w:color w:val="000000"/>
              </w:rPr>
              <w:t>. M</w:t>
            </w:r>
            <w:r w:rsidR="00851FB0" w:rsidRPr="00957B06">
              <w:rPr>
                <w:rFonts w:cs="Calibri"/>
                <w:color w:val="000000"/>
              </w:rPr>
              <w:t>imo</w:t>
            </w:r>
            <w:r w:rsidRPr="00957B06">
              <w:rPr>
                <w:rFonts w:cs="Calibri"/>
                <w:color w:val="000000"/>
              </w:rPr>
              <w:t>,</w:t>
            </w:r>
            <w:r w:rsidR="00851FB0" w:rsidRPr="00957B06">
              <w:rPr>
                <w:rFonts w:cs="Calibri"/>
                <w:color w:val="000000"/>
              </w:rPr>
              <w:t xml:space="preserve"> iż większość skontrolowanych uczelni akademickich i zawodowych w sposób prawidłowy podejmowała działania na rzecz zapewnienia niepełnosprawnym studentom i doktorantom warunków do pełnego udziału w procesie nauczania i w badaniach naukowych, to działania te nie były wystarczająco skuteczne. Wciąż zdarzały się sytuacje uniemożliwiające osobom z niepełnosprawnością kształcenie i udział w badaniach naukowych na równi z osobami pełnosprawnymi. Występowały w nich bowiem bariery architektoniczne i rozwiązania techniczne niesprzyjające osobom z niepełnosprawnością.</w:t>
            </w:r>
          </w:p>
          <w:p w14:paraId="4C04D49B" w14:textId="2907EAE5" w:rsidR="00851FB0" w:rsidRPr="00957B06" w:rsidRDefault="00851FB0" w:rsidP="00851FB0">
            <w:pPr>
              <w:rPr>
                <w:rFonts w:cs="Calibri"/>
                <w:color w:val="000000"/>
              </w:rPr>
            </w:pPr>
            <w:r w:rsidRPr="00957B06">
              <w:rPr>
                <w:rFonts w:cs="Calibri"/>
                <w:color w:val="000000"/>
              </w:rPr>
              <w:t>W roku 2017 NIK przeprowadził kontrolę wspierania kształcenia specjalnego uczniów z niepełnosprawnościami w ogólnodostępnych szkołach i przedszkolach. Wynika z niej, że w</w:t>
            </w:r>
            <w:r w:rsidR="00D943B9" w:rsidRPr="00957B06">
              <w:rPr>
                <w:rFonts w:cs="Calibri"/>
                <w:color w:val="000000"/>
              </w:rPr>
              <w:t xml:space="preserve"> wielu </w:t>
            </w:r>
            <w:r w:rsidRPr="00957B06">
              <w:rPr>
                <w:rFonts w:cs="Calibri"/>
                <w:color w:val="000000"/>
              </w:rPr>
              <w:t>szkołach i przedszkolach nie udało się w pełni zlikwidować barier architektonicznych, uniemożliwiających poruszanie się osób niepełnosprawnych ruchowo na terenie szkoły i w jej bezpośrednim otoczeniu. Powodowało to konieczność stosowania tymczasowych rozwiązań, np. przenoszenia lub przeprowadzania uczniów między kondygnacjami, co mogło ograniczać dostęp do edukacji włączającej dla uczniów poruszających się na wózkach. Ponadto w 1/3 placówek nie zapewniono odpowiednich pomieszczeń do realizacji indywidualnego nauczania dla uczniów z niepełnosprawnościami.</w:t>
            </w:r>
          </w:p>
          <w:p w14:paraId="705D1872" w14:textId="408382B6" w:rsidR="00851FB0" w:rsidRPr="00957B06" w:rsidRDefault="00851FB0" w:rsidP="00851FB0">
            <w:pPr>
              <w:rPr>
                <w:rFonts w:cs="Calibri"/>
                <w:color w:val="000000"/>
              </w:rPr>
            </w:pPr>
            <w:r w:rsidRPr="00957B06">
              <w:rPr>
                <w:rFonts w:cs="Calibri"/>
                <w:color w:val="000000"/>
              </w:rPr>
              <w:t>„Badanie potrzeb osób niepełnosprawnych”, przeprowadzone na zlecenie PFRON w 2017 r., wskaz</w:t>
            </w:r>
            <w:r w:rsidR="00735155" w:rsidRPr="00957B06">
              <w:rPr>
                <w:rFonts w:cs="Calibri"/>
                <w:color w:val="000000"/>
              </w:rPr>
              <w:t>ywało</w:t>
            </w:r>
            <w:r w:rsidRPr="00957B06">
              <w:rPr>
                <w:rFonts w:cs="Calibri"/>
                <w:color w:val="000000"/>
              </w:rPr>
              <w:t xml:space="preserve">, że brak dostępności – w wielu obszarach – jest jedną z największych barier dla osób z niepełnosprawnością w życiu </w:t>
            </w:r>
            <w:r w:rsidRPr="00957B06">
              <w:rPr>
                <w:rFonts w:cs="Calibri"/>
                <w:color w:val="000000"/>
              </w:rPr>
              <w:lastRenderedPageBreak/>
              <w:t>społecznym i zawodowym. Dla przykładu, osoby z niepełnosprawnością ruchową napotykają szereg barier w dostępie do rynku pracy, wśród których najczęściej wymieniają brak dostosowań architektonicznych w przestrzeni publicznej. Przeszkody fizyczne – schody, wąskie przejścia, nierówności terenu i powierzchni, brak wind i platform, wysokopodłogowe pojazdy komunikacji miejskiej i inne czynniki z tej kategorii skutecznie ograniczają możliwość pełnego uczestnictwa przedstawicieli tej grupy w funkcjonowaniu i integracji.</w:t>
            </w:r>
          </w:p>
          <w:p w14:paraId="3E7FBAF6" w14:textId="1D053FAD" w:rsidR="00851FB0" w:rsidRPr="00957B06" w:rsidRDefault="00851FB0" w:rsidP="00851FB0">
            <w:pPr>
              <w:rPr>
                <w:rFonts w:cs="Calibri"/>
                <w:color w:val="000000"/>
              </w:rPr>
            </w:pPr>
            <w:r w:rsidRPr="00957B06">
              <w:rPr>
                <w:rFonts w:cs="Calibri"/>
                <w:color w:val="000000"/>
              </w:rPr>
              <w:t>Warto także zauważyć, że przeprowadzona w 2018 r. w ramach jednego z projektów finansowanych z funduszy europejskich realizacja działań monitoringowych w instytucjach centralnych, miała na celu identyfikację barier i wskazanie rekomendacji w obszarze wdrażania Konwencji o prawach osób z niepełnosprawnościami na poziomie tych instytucji.</w:t>
            </w:r>
            <w:r w:rsidR="00735155" w:rsidRPr="00957B06">
              <w:rPr>
                <w:rFonts w:cs="Calibri"/>
                <w:color w:val="000000"/>
              </w:rPr>
              <w:t xml:space="preserve"> Jaką kluczową barierę wskazano kwestie świadomościowe, brak wiedzy nt. potrzeb związanych z różnymi rodzajami niepełnosprawności. </w:t>
            </w:r>
          </w:p>
          <w:p w14:paraId="6818739A" w14:textId="77777777" w:rsidR="00735155" w:rsidRPr="00957B06" w:rsidRDefault="00851FB0" w:rsidP="00851FB0">
            <w:pPr>
              <w:rPr>
                <w:rFonts w:cs="Calibri"/>
                <w:color w:val="000000"/>
              </w:rPr>
            </w:pPr>
            <w:r w:rsidRPr="00957B06">
              <w:rPr>
                <w:rFonts w:cs="Calibri"/>
                <w:color w:val="000000"/>
              </w:rPr>
              <w:t xml:space="preserve">Brak dostępności przestrzeni publicznej powoduje wzrost kosztów tak dla finansów publicznych jak i budżetów samych obywateli, gdyż istnieje konieczność udzielania większego wsparcia osobom o szczególnych potrzebach – np. konieczność asystencji i wyręczania, większa liczba godzin usług opiekuńczych, konieczność zamiany miejsca  zamieszkania na kosztowną placówkę całodobową. Szansą na zmianę tego stanu rzeczy jest ograniczenie wsparcia poprzez ograniczenie i inny sposób zaspokojenia potrzeb, co realnie można osiągnąć poprzez dostosowanie przestrzeni publicznej, likwidację barier w komunikacji czy architekturze,  zapewnienie dostępności usług. Pomaga to wydłużyć samodzielność i niezależność funkcjonowania oraz opóźnić moment, w którym osoba zgłasza się do wsparcia, bo już sama sobie nie poradzi. </w:t>
            </w:r>
          </w:p>
          <w:p w14:paraId="6AD1B59D" w14:textId="0E83CB83" w:rsidR="00851FB0" w:rsidRPr="00957B06" w:rsidRDefault="00851FB0" w:rsidP="00851FB0">
            <w:pPr>
              <w:rPr>
                <w:rFonts w:cs="Calibri"/>
                <w:color w:val="000000"/>
              </w:rPr>
            </w:pPr>
            <w:r w:rsidRPr="00957B06">
              <w:rPr>
                <w:rFonts w:cs="Calibri"/>
                <w:color w:val="000000"/>
              </w:rPr>
              <w:t xml:space="preserve">Syndrom „więźniów czwartego piętra” doskonale obrazuje bariery z jakimi muszą się mierzyć osoby o ograniczonej sprawności ruchowej – szczególnie seniorzy, rodzice z wózkami dziecięcymi, osoby z ograniczeniami mobilności. Wynika to przede wszystkim z faktu, że sporządzane w przeszłości projekty architektoniczne nie uwzględniały kwestii dostępności. Zgodnie z art. 5 ust. 1 pkt 4 ustawy </w:t>
            </w:r>
            <w:r w:rsidRPr="00957B06">
              <w:rPr>
                <w:rFonts w:cs="Calibri"/>
                <w:color w:val="000000"/>
              </w:rPr>
              <w:lastRenderedPageBreak/>
              <w:t xml:space="preserve">Prawo budowlane, budynki (mieszkalnictwa wielorodzinnego oraz użyteczności publicznej) powinny być zaprojektowane i wzniesione w taki sposób, aby zapewnić niezbędne warunki do korzystania z nich przez osoby ze szczególnymi potrzebami, w szczególności poruszające się na wózkach inwalidzkich. Powyższa norma znajduje swe uszczegółowienie w zapisach wydanego na podstawie ww. ustawy rozporządzenia Ministra Infrastruktury z dnia 12 kwietnia 2002 r. w sprawie warunków technicznych, jakim powinny odpowiadać budynki i ich usytuowanie (Dz. U. z 2002 r. Nr 75, poz. 690 z </w:t>
            </w:r>
            <w:proofErr w:type="spellStart"/>
            <w:r w:rsidRPr="00957B06">
              <w:rPr>
                <w:rFonts w:cs="Calibri"/>
                <w:color w:val="000000"/>
              </w:rPr>
              <w:t>późn</w:t>
            </w:r>
            <w:proofErr w:type="spellEnd"/>
            <w:r w:rsidRPr="00957B06">
              <w:rPr>
                <w:rFonts w:cs="Calibri"/>
                <w:color w:val="000000"/>
              </w:rPr>
              <w:t xml:space="preserve">. zm.). Jednakże przepisy te nie określają w sposób </w:t>
            </w:r>
            <w:r w:rsidR="001B2591" w:rsidRPr="00957B06">
              <w:rPr>
                <w:rFonts w:cs="Calibri"/>
                <w:color w:val="000000"/>
              </w:rPr>
              <w:t xml:space="preserve">wystarczająco precyzyjny </w:t>
            </w:r>
            <w:r w:rsidRPr="00957B06">
              <w:rPr>
                <w:rFonts w:cs="Calibri"/>
                <w:color w:val="000000"/>
              </w:rPr>
              <w:t>warunków, jakie należy spełnić projektując budynek dostępny dla osób z niepełnosprawnościami, w szczególności w miejscach</w:t>
            </w:r>
            <w:r w:rsidRPr="00467BD3">
              <w:rPr>
                <w:rFonts w:cs="Calibri"/>
                <w:color w:val="000000"/>
              </w:rPr>
              <w:t xml:space="preserve"> gdzie świadczone  są usługi publiczne. Powyższe przepisy weszły w życie w 2002 r. – oznacza to, że infrastruktura mieszkaniowa, czy budy</w:t>
            </w:r>
            <w:r w:rsidRPr="00957B06">
              <w:rPr>
                <w:rFonts w:cs="Calibri"/>
                <w:color w:val="000000"/>
              </w:rPr>
              <w:t xml:space="preserve">nków użyteczności publicznej sprzed tego okresu, nie uwzględniała potrzeb osób z niepełnosprawnością, czy osób z ograniczoną mobilnością. W rezultacie część społeczeństwa dotyka wykluczenie z życia społecznego, w szczególności ze względu na ograniczenia możliwości przemieszczania się. Ten problem dotyka przede wszystkim osób ze szczególnymi potrzebami, w tym osób starszych, a także rodziców z dziećmi. Istnienie tych barier jest przyczyną braku aktywności społeczno-gospodarczej części wskazanej grupy osób. Ograniczone możliwości kontynuowania nauki, podjęcia pracy czy samodzielnego udziału w kulturze, sporcie i życiu społecznym powodują, że duża część społeczeństwa (łącznie szacowana na 12% – do nawet 30%) nie wykorzystuje swojego potencjału. </w:t>
            </w:r>
          </w:p>
          <w:p w14:paraId="0A313343" w14:textId="77777777" w:rsidR="00851FB0" w:rsidRPr="00957B06" w:rsidRDefault="00851FB0" w:rsidP="00851FB0">
            <w:pPr>
              <w:spacing w:after="120"/>
              <w:rPr>
                <w:rFonts w:cs="Calibri"/>
                <w:color w:val="000000"/>
              </w:rPr>
            </w:pPr>
            <w:r w:rsidRPr="00957B06">
              <w:rPr>
                <w:rFonts w:cs="Calibri"/>
                <w:color w:val="000000"/>
              </w:rPr>
              <w:t xml:space="preserve">Jednocześnie, dotychczasowe działania władz publicznych pokazują, że idea otwartości na różne potrzeby i dostępności podmiotów publicznych nie została jeszcze zinternalizowana - zarówno w wymiarze świadomościowym, jak i w sferze politycznych zobowiązań i realnych działań decydentów, przekładających się na funkcjonowanie podmiotów publicznych  i wykonywanych przez nie zadań czy świadczonych usług. Podejmowane w tym obszarze działania wynikają raczej z indywidualnych przypadków dobrej woli lub  mają  charakter działań interwencyjnych, </w:t>
            </w:r>
            <w:r w:rsidRPr="00957B06">
              <w:rPr>
                <w:rFonts w:cs="Calibri"/>
                <w:color w:val="000000"/>
              </w:rPr>
              <w:lastRenderedPageBreak/>
              <w:t xml:space="preserve">doraźnych, które pomimo istotnych nakładów finansowych (środki PFRON, środki europejskie), docelowo nie przynoszą oczekiwanych społecznie efektów. Dla przykładu można wymienić liczne działania edukacyjne lub aktywizujące zawodowo osoby niepełnosprawne, które pomimo zainwestowania wielomilionowych nakładów nie przełożyły się na zmianę wskaźnika zatrudnienia osób niepełnosprawnych (w latach 2008-2013 wzrósł on zaledwie o 0,2 %). Realizowane działania nie przynosiły trwałej zmiany m.in. ze względu na ograniczenia wynikające z braku dostępności w najbliższym otoczeniu. </w:t>
            </w:r>
          </w:p>
          <w:p w14:paraId="4C45FA51" w14:textId="6CDDD3CB" w:rsidR="009C15F8" w:rsidRPr="00957B06" w:rsidRDefault="00735155" w:rsidP="00F249CF">
            <w:pPr>
              <w:pStyle w:val="TableParagraph"/>
              <w:tabs>
                <w:tab w:val="left" w:pos="2541"/>
              </w:tabs>
              <w:spacing w:line="250" w:lineRule="atLeast"/>
              <w:ind w:right="97"/>
              <w:rPr>
                <w:rFonts w:cs="Calibri"/>
                <w:color w:val="000000"/>
              </w:rPr>
            </w:pPr>
            <w:r w:rsidRPr="00957B06">
              <w:rPr>
                <w:rFonts w:cs="Calibri"/>
                <w:color w:val="000000"/>
              </w:rPr>
              <w:t xml:space="preserve">Za nieskuteczne uznano również </w:t>
            </w:r>
            <w:r w:rsidR="00851FB0" w:rsidRPr="00957B06">
              <w:rPr>
                <w:rFonts w:cs="Calibri"/>
                <w:color w:val="000000"/>
              </w:rPr>
              <w:t>ustawodawstw</w:t>
            </w:r>
            <w:r w:rsidRPr="00957B06">
              <w:rPr>
                <w:rFonts w:cs="Calibri"/>
                <w:color w:val="000000"/>
              </w:rPr>
              <w:t>o</w:t>
            </w:r>
            <w:r w:rsidR="00851FB0" w:rsidRPr="00957B06">
              <w:rPr>
                <w:rFonts w:cs="Calibri"/>
                <w:color w:val="000000"/>
              </w:rPr>
              <w:t xml:space="preserve"> oraz przepis</w:t>
            </w:r>
            <w:r w:rsidRPr="00957B06">
              <w:rPr>
                <w:rFonts w:cs="Calibri"/>
                <w:color w:val="000000"/>
              </w:rPr>
              <w:t>y</w:t>
            </w:r>
            <w:r w:rsidR="00851FB0" w:rsidRPr="00957B06">
              <w:rPr>
                <w:rFonts w:cs="Calibri"/>
                <w:color w:val="000000"/>
              </w:rPr>
              <w:t xml:space="preserve"> wykonawcz</w:t>
            </w:r>
            <w:r w:rsidRPr="00957B06">
              <w:rPr>
                <w:rFonts w:cs="Calibri"/>
                <w:color w:val="000000"/>
              </w:rPr>
              <w:t>e</w:t>
            </w:r>
            <w:r w:rsidR="00851FB0" w:rsidRPr="00957B06">
              <w:rPr>
                <w:rFonts w:cs="Calibri"/>
                <w:color w:val="000000"/>
              </w:rPr>
              <w:t xml:space="preserve"> (np. w obszarze architektury czy cyfryzacji) dotyczących dostępności, które pozostają nieskuteczne. Dla przykładu, polskie Prawo budowlane nie pozostawia wątpliwości co do tego, że wszystkie budynki użyteczności publicznej postawione po 1995 r. muszą zapewniać dostępność osobom niepełnosprawnym, zwłaszcza poruszającym się na wózkach. W praktyce, mimo że przepisy są obligatoryjne, nie przestrzegają ich nie tylko inwestorzy i wykonawcy, ale też architekci i pracownicy organów administracji budowlanych. Podobnie w obszarze cyfrowym, przyjęte w 2012 r. rozporządzenie o Krajowych Ramach Interoperacyjności obliguje do zapewnienia dostępności serwisów administracji publicznej, podczas gdy w praktyce sześć lat po jego wprowadzeniu poziom tej dostępności wzrósł zaledwie do niespełna 48%. Powyższe wnioski dobitnie pokaz</w:t>
            </w:r>
            <w:r w:rsidRPr="00957B06">
              <w:rPr>
                <w:rFonts w:cs="Calibri"/>
                <w:color w:val="000000"/>
              </w:rPr>
              <w:t>ywały</w:t>
            </w:r>
            <w:r w:rsidR="00851FB0" w:rsidRPr="00957B06">
              <w:rPr>
                <w:rFonts w:cs="Calibri"/>
                <w:color w:val="000000"/>
              </w:rPr>
              <w:t xml:space="preserve">, że wadą przepisów w zakresie dostępności </w:t>
            </w:r>
            <w:r w:rsidRPr="00957B06">
              <w:rPr>
                <w:rFonts w:cs="Calibri"/>
                <w:color w:val="000000"/>
              </w:rPr>
              <w:t>był</w:t>
            </w:r>
            <w:r w:rsidR="00851FB0" w:rsidRPr="00957B06">
              <w:rPr>
                <w:rFonts w:cs="Calibri"/>
                <w:color w:val="000000"/>
              </w:rPr>
              <w:t xml:space="preserve"> brak skutecznych mechanizmów kontrolnych, gwarantujących realizację dostępności. </w:t>
            </w:r>
          </w:p>
        </w:tc>
        <w:tc>
          <w:tcPr>
            <w:tcW w:w="3686" w:type="dxa"/>
          </w:tcPr>
          <w:p w14:paraId="33A0DDBA" w14:textId="77777777" w:rsidR="009C15F8" w:rsidRPr="00957B06" w:rsidRDefault="00E06656" w:rsidP="00AE6FB8">
            <w:pPr>
              <w:rPr>
                <w:rFonts w:cs="Calibri"/>
                <w:color w:val="000000"/>
              </w:rPr>
            </w:pPr>
            <w:r w:rsidRPr="00957B06">
              <w:rPr>
                <w:rFonts w:cs="Calibri"/>
                <w:color w:val="000000"/>
              </w:rPr>
              <w:lastRenderedPageBreak/>
              <w:t>- Budżet państwa, JST i inne jednostki SFP</w:t>
            </w:r>
          </w:p>
          <w:p w14:paraId="4BC7D6E6" w14:textId="338EE675" w:rsidR="00EE5697" w:rsidRPr="00957B06" w:rsidRDefault="00EE5697" w:rsidP="00AE6FB8">
            <w:pPr>
              <w:rPr>
                <w:rFonts w:cs="Calibri"/>
                <w:color w:val="000000"/>
              </w:rPr>
            </w:pPr>
            <w:r w:rsidRPr="00957B06">
              <w:rPr>
                <w:rFonts w:cs="Calibri"/>
                <w:color w:val="000000"/>
              </w:rPr>
              <w:t>W kontekście dochodowym dla budżetu państwa zidentyfikowano potencjalne wpływy z instrumentu jakim jest grzywna w celu przymuszenia do zapewnienia dostępności w wyniku postępowania skargowego. Wysokość i sposób nakładania grzywny w celu przymuszenia określono w art. 121 ustawy z dnia 17 czerwca 1966 r. o postępowaniu egzekucyjnym w administracji. Przy obliczaniu prognozowanej kwoty dochodów związanej z nałożeniem grzywny w wyniku postępowania skargowego, potwierdzającego brak dostępności do podmiotu publicznego, przyjęto założenie że w zdecydowanej większości podmiotów publicznych wystarczająca będzie jednorazowa skarga rozpatrzona pozytywnie aby zapewnić jego dostępność. Zakładając dodatkowo,  że odsetek podmiotów, na które zostanie nałożona taka grzywna (konieczność złożenia skargi, a następnie nie wywiązanie się z nałożonego w jej wyniku obowiązku zapewniania dostępności ) będzie nie większy niż ok. 5%. Odsetek ten pomnożony przez kwotę jednorazową  grzywny dla podmiotów nie posiadających osobowości prawnej (głównie jednostki budżetowe) wyniesie maksymalnie 127,8 mln zł (5% z 51 146 podmiotów x 50 tys. zł). Natomiast w przypadku podmiotów posiadających osobowość prawną, będzie to prognozowana kwota 6,8 mln zł (5% z 13 765 podmiotów x 10 tys. zł.). Łącznie dochody z tytułu nałożonych grzywien szacowano na poziomie ok. 134,6  mln zł.</w:t>
            </w:r>
          </w:p>
          <w:p w14:paraId="0A41F64C" w14:textId="0553D8DF" w:rsidR="009C15F8" w:rsidRPr="00957B06" w:rsidRDefault="00EE5697" w:rsidP="00AE6FB8">
            <w:pPr>
              <w:rPr>
                <w:rFonts w:cs="Calibri"/>
                <w:color w:val="000000"/>
              </w:rPr>
            </w:pPr>
            <w:r w:rsidRPr="00957B06">
              <w:rPr>
                <w:rFonts w:cs="Calibri"/>
                <w:color w:val="000000"/>
              </w:rPr>
              <w:t xml:space="preserve">Po stronie dochodowej </w:t>
            </w:r>
            <w:r w:rsidR="00C0106C" w:rsidRPr="00957B06">
              <w:rPr>
                <w:rFonts w:cs="Calibri"/>
                <w:color w:val="000000"/>
              </w:rPr>
              <w:t xml:space="preserve">zakładano </w:t>
            </w:r>
            <w:r w:rsidRPr="00957B06">
              <w:rPr>
                <w:rFonts w:cs="Calibri"/>
                <w:color w:val="000000"/>
              </w:rPr>
              <w:t xml:space="preserve">również wpływy do budżetu państwa wynikające ze wzrostu aktywności zawodowej osób ze szczególnymi potrzebami - dochody zarówno w postaci wnoszonych składek z tytułu ubezpieczenia społecznego i podjętej pracy ale także z tytułu oszczędności wynikających ze zmniejszonych transferów socjalnych. Dla  szacowania przybliżonych przychodów budżetu państwa </w:t>
            </w:r>
            <w:r w:rsidR="00A674EE" w:rsidRPr="00957B06">
              <w:rPr>
                <w:rFonts w:cs="Calibri"/>
                <w:color w:val="000000"/>
              </w:rPr>
              <w:t>zakładano</w:t>
            </w:r>
            <w:r w:rsidRPr="00957B06">
              <w:rPr>
                <w:rFonts w:cs="Calibri"/>
                <w:color w:val="000000"/>
              </w:rPr>
              <w:t xml:space="preserve">, że każda osoba pracująca uzyskałaby tylko najniższą pensję krajową, składka osobowa wpłacana do ZUS wynosiłaby ok. 309 zł miesięcznie. Jednakże z uwagi na nieznaną skalę osób z </w:t>
            </w:r>
            <w:r w:rsidRPr="00957B06">
              <w:rPr>
                <w:rFonts w:cs="Calibri"/>
                <w:color w:val="000000"/>
              </w:rPr>
              <w:lastRenderedPageBreak/>
              <w:t>niepełnosprawnościami, dla których brak dostępności przestrzeni publicznej jest jedyną</w:t>
            </w:r>
            <w:r w:rsidR="00C0106C" w:rsidRPr="00957B06">
              <w:rPr>
                <w:rFonts w:cs="Calibri"/>
                <w:color w:val="000000"/>
              </w:rPr>
              <w:t xml:space="preserve"> lub główną</w:t>
            </w:r>
            <w:r w:rsidRPr="00957B06">
              <w:rPr>
                <w:rFonts w:cs="Calibri"/>
                <w:color w:val="000000"/>
              </w:rPr>
              <w:t xml:space="preserve"> przeszkodą w podjęciu aktywności zawodowej (obok np. kwestii zdrowotnych, osobistych itp.), </w:t>
            </w:r>
            <w:r w:rsidR="00A674EE" w:rsidRPr="00957B06">
              <w:rPr>
                <w:rFonts w:cs="Calibri"/>
                <w:color w:val="000000"/>
              </w:rPr>
              <w:t>nie</w:t>
            </w:r>
            <w:r w:rsidRPr="00957B06">
              <w:rPr>
                <w:rFonts w:cs="Calibri"/>
                <w:color w:val="000000"/>
              </w:rPr>
              <w:t xml:space="preserve"> oszacowa</w:t>
            </w:r>
            <w:r w:rsidR="00A674EE" w:rsidRPr="00957B06">
              <w:rPr>
                <w:rFonts w:cs="Calibri"/>
                <w:color w:val="000000"/>
              </w:rPr>
              <w:t>no</w:t>
            </w:r>
            <w:r w:rsidRPr="00957B06">
              <w:rPr>
                <w:rFonts w:cs="Calibri"/>
                <w:color w:val="000000"/>
              </w:rPr>
              <w:t xml:space="preserve"> jaka część z tej grupy społecznej podejmie pracę w wyniku działania ustawy i jaki będzie związany z tym przychód z tytułu ubezpieczeń społecznych.</w:t>
            </w:r>
          </w:p>
          <w:p w14:paraId="4794E907" w14:textId="27B274C7" w:rsidR="00332D5B" w:rsidRPr="00957B06" w:rsidRDefault="00332D5B" w:rsidP="00AE6FB8">
            <w:pPr>
              <w:rPr>
                <w:rFonts w:cs="Calibri"/>
                <w:color w:val="000000"/>
              </w:rPr>
            </w:pPr>
          </w:p>
          <w:p w14:paraId="0436CE7D" w14:textId="459C485F" w:rsidR="00332D5B" w:rsidRPr="00957B06" w:rsidRDefault="00332D5B" w:rsidP="00AE6FB8">
            <w:pPr>
              <w:rPr>
                <w:rFonts w:cs="Calibri"/>
                <w:color w:val="000000"/>
              </w:rPr>
            </w:pPr>
            <w:r w:rsidRPr="00957B06">
              <w:rPr>
                <w:rFonts w:cs="Calibri"/>
                <w:color w:val="000000"/>
              </w:rPr>
              <w:t>Zgodnie z projektowaną regulacją, jednym z mechanizmów zachęty do poprawy dostępności w przypadku podmiotów prywatnych, jest możliwość obniżenia wpłat składki pracodawcy innego niż podmiot publiczny na PFRON o 5%, o ile podmiot taki uzyska  certyfikat dostępności o którym mowa w rozdziale 3 ustawy. Na podstawie danych PFRON za 2018 r. można wskazać, że średniomiesięcznie deklaracje wpłat na PFRON składa ponad 27 tys. pracodawców na kwotę ok. 390 mln zł (miesięcznie). W związku z tym powyższy mechanizm może skutkować zmniejszeniem wpłat na PFRON w skali roku o ok. 234 mln zł.</w:t>
            </w:r>
          </w:p>
          <w:p w14:paraId="4F272FBC" w14:textId="05C11080" w:rsidR="00C54C9F" w:rsidRPr="00957B06" w:rsidRDefault="00C54C9F" w:rsidP="00AE6FB8">
            <w:pPr>
              <w:rPr>
                <w:rFonts w:cs="Calibri"/>
                <w:color w:val="000000"/>
              </w:rPr>
            </w:pPr>
          </w:p>
          <w:p w14:paraId="5AA2BECA" w14:textId="307E1F61" w:rsidR="00AE6FB8" w:rsidRPr="00957B06" w:rsidRDefault="00AE6FB8" w:rsidP="00AE6FB8">
            <w:pPr>
              <w:rPr>
                <w:rFonts w:cs="Calibri"/>
                <w:color w:val="000000"/>
              </w:rPr>
            </w:pPr>
          </w:p>
          <w:p w14:paraId="71869777" w14:textId="536D9828" w:rsidR="00AE6FB8" w:rsidRPr="00957B06" w:rsidRDefault="00AE6FB8" w:rsidP="00AE6FB8">
            <w:pPr>
              <w:rPr>
                <w:rFonts w:cs="Calibri"/>
                <w:color w:val="000000"/>
              </w:rPr>
            </w:pPr>
          </w:p>
          <w:p w14:paraId="2E730DF9" w14:textId="0EEBE253" w:rsidR="00AE6FB8" w:rsidRPr="00957B06" w:rsidRDefault="00AE6FB8" w:rsidP="00AE6FB8">
            <w:pPr>
              <w:rPr>
                <w:rFonts w:cs="Calibri"/>
                <w:color w:val="000000"/>
              </w:rPr>
            </w:pPr>
          </w:p>
          <w:p w14:paraId="0A564DF7" w14:textId="2BF9BEF8" w:rsidR="00AE6FB8" w:rsidRPr="00957B06" w:rsidRDefault="00AE6FB8" w:rsidP="00AE6FB8">
            <w:pPr>
              <w:rPr>
                <w:rFonts w:cs="Calibri"/>
                <w:color w:val="000000"/>
              </w:rPr>
            </w:pPr>
          </w:p>
          <w:p w14:paraId="271FF973" w14:textId="10B183F3" w:rsidR="00AE6FB8" w:rsidRPr="00957B06" w:rsidRDefault="00AE6FB8" w:rsidP="00AE6FB8">
            <w:pPr>
              <w:rPr>
                <w:rFonts w:cs="Calibri"/>
                <w:color w:val="000000"/>
              </w:rPr>
            </w:pPr>
          </w:p>
          <w:p w14:paraId="051FCC96" w14:textId="2FF838A9" w:rsidR="00AE6FB8" w:rsidRPr="00957B06" w:rsidRDefault="00AE6FB8" w:rsidP="00AE6FB8">
            <w:pPr>
              <w:rPr>
                <w:rFonts w:cs="Calibri"/>
                <w:color w:val="000000"/>
              </w:rPr>
            </w:pPr>
          </w:p>
          <w:p w14:paraId="60A27EA3" w14:textId="54E12BD9" w:rsidR="00AE6FB8" w:rsidRPr="00957B06" w:rsidRDefault="00AE6FB8" w:rsidP="00AE6FB8">
            <w:pPr>
              <w:rPr>
                <w:rFonts w:cs="Calibri"/>
                <w:color w:val="000000"/>
              </w:rPr>
            </w:pPr>
          </w:p>
          <w:p w14:paraId="5D5C0E9A" w14:textId="2FA923EE" w:rsidR="00AE6FB8" w:rsidRPr="00957B06" w:rsidRDefault="00AE6FB8" w:rsidP="00AE6FB8">
            <w:pPr>
              <w:rPr>
                <w:rFonts w:cs="Calibri"/>
                <w:color w:val="000000"/>
              </w:rPr>
            </w:pPr>
          </w:p>
          <w:p w14:paraId="06D43037" w14:textId="154A5DCA" w:rsidR="00AE6FB8" w:rsidRPr="00957B06" w:rsidRDefault="00AE6FB8" w:rsidP="00AE6FB8">
            <w:pPr>
              <w:rPr>
                <w:rFonts w:cs="Calibri"/>
                <w:color w:val="000000"/>
              </w:rPr>
            </w:pPr>
          </w:p>
          <w:p w14:paraId="60FCBD83" w14:textId="5AFF2E18" w:rsidR="00AE6FB8" w:rsidRPr="00957B06" w:rsidRDefault="00AE6FB8" w:rsidP="00AE6FB8">
            <w:pPr>
              <w:rPr>
                <w:rFonts w:cs="Calibri"/>
                <w:color w:val="000000"/>
              </w:rPr>
            </w:pPr>
          </w:p>
          <w:p w14:paraId="0A9830F4" w14:textId="0B9AB924" w:rsidR="00AE6FB8" w:rsidRPr="00957B06" w:rsidRDefault="00AE6FB8" w:rsidP="00AE6FB8">
            <w:pPr>
              <w:rPr>
                <w:rFonts w:cs="Calibri"/>
                <w:color w:val="000000"/>
              </w:rPr>
            </w:pPr>
          </w:p>
          <w:p w14:paraId="49BD4BE8" w14:textId="7E15D519" w:rsidR="00AE6FB8" w:rsidRPr="00957B06" w:rsidRDefault="00AE6FB8" w:rsidP="00AE6FB8">
            <w:pPr>
              <w:rPr>
                <w:rFonts w:cs="Calibri"/>
                <w:color w:val="000000"/>
              </w:rPr>
            </w:pPr>
          </w:p>
          <w:p w14:paraId="269D2DC6" w14:textId="76F1CAFC" w:rsidR="00AE6FB8" w:rsidRPr="00957B06" w:rsidRDefault="00AE6FB8" w:rsidP="00AE6FB8">
            <w:pPr>
              <w:rPr>
                <w:rFonts w:cs="Calibri"/>
                <w:color w:val="000000"/>
              </w:rPr>
            </w:pPr>
          </w:p>
          <w:p w14:paraId="35051F62" w14:textId="2091B391" w:rsidR="00AE6FB8" w:rsidRPr="00957B06" w:rsidRDefault="00AE6FB8" w:rsidP="00AE6FB8">
            <w:pPr>
              <w:rPr>
                <w:rFonts w:cs="Calibri"/>
                <w:color w:val="000000"/>
              </w:rPr>
            </w:pPr>
          </w:p>
          <w:p w14:paraId="10A287A9" w14:textId="463B2AE5" w:rsidR="00AE6FB8" w:rsidRPr="00957B06" w:rsidRDefault="00AE6FB8" w:rsidP="00AE6FB8">
            <w:pPr>
              <w:rPr>
                <w:rFonts w:cs="Calibri"/>
                <w:color w:val="000000"/>
              </w:rPr>
            </w:pPr>
          </w:p>
          <w:p w14:paraId="66E97E7D" w14:textId="26A65F72" w:rsidR="00AE6FB8" w:rsidRPr="00957B06" w:rsidRDefault="00AE6FB8" w:rsidP="00AE6FB8">
            <w:pPr>
              <w:rPr>
                <w:rFonts w:cs="Calibri"/>
                <w:color w:val="000000"/>
              </w:rPr>
            </w:pPr>
          </w:p>
          <w:p w14:paraId="57A870AE" w14:textId="73F79C00" w:rsidR="00AE6FB8" w:rsidRPr="00957B06" w:rsidRDefault="00AE6FB8" w:rsidP="00AE6FB8">
            <w:pPr>
              <w:rPr>
                <w:rFonts w:cs="Calibri"/>
                <w:color w:val="000000"/>
              </w:rPr>
            </w:pPr>
          </w:p>
          <w:p w14:paraId="7D288F34" w14:textId="180AAA9D" w:rsidR="00AE6FB8" w:rsidRPr="00957B06" w:rsidRDefault="00AE6FB8" w:rsidP="00AE6FB8">
            <w:pPr>
              <w:rPr>
                <w:rFonts w:cs="Calibri"/>
                <w:color w:val="000000"/>
              </w:rPr>
            </w:pPr>
          </w:p>
          <w:p w14:paraId="6C401216" w14:textId="7102DA03" w:rsidR="00AE6FB8" w:rsidRPr="00957B06" w:rsidRDefault="00AE6FB8" w:rsidP="00AE6FB8">
            <w:pPr>
              <w:rPr>
                <w:rFonts w:cs="Calibri"/>
                <w:color w:val="000000"/>
              </w:rPr>
            </w:pPr>
          </w:p>
          <w:p w14:paraId="1572A765" w14:textId="6A8C7C5F" w:rsidR="00AE6FB8" w:rsidRPr="00957B06" w:rsidRDefault="00AE6FB8" w:rsidP="00AE6FB8">
            <w:pPr>
              <w:rPr>
                <w:rFonts w:cs="Calibri"/>
                <w:color w:val="000000"/>
              </w:rPr>
            </w:pPr>
          </w:p>
          <w:p w14:paraId="2A8C2892" w14:textId="5DFD3DA2" w:rsidR="00AE6FB8" w:rsidRPr="00957B06" w:rsidRDefault="00AE6FB8" w:rsidP="00AE6FB8">
            <w:pPr>
              <w:rPr>
                <w:rFonts w:cs="Calibri"/>
                <w:color w:val="000000"/>
              </w:rPr>
            </w:pPr>
          </w:p>
          <w:p w14:paraId="57324C76" w14:textId="3FAC3830" w:rsidR="00AE6FB8" w:rsidRPr="00957B06" w:rsidRDefault="00AE6FB8" w:rsidP="00AE6FB8">
            <w:pPr>
              <w:rPr>
                <w:rFonts w:cs="Calibri"/>
                <w:color w:val="000000"/>
              </w:rPr>
            </w:pPr>
          </w:p>
          <w:p w14:paraId="4CF463CD" w14:textId="56A58B8F" w:rsidR="00AE6FB8" w:rsidRPr="00957B06" w:rsidRDefault="00AE6FB8" w:rsidP="00AE6FB8">
            <w:pPr>
              <w:rPr>
                <w:rFonts w:cs="Calibri"/>
                <w:color w:val="000000"/>
              </w:rPr>
            </w:pPr>
          </w:p>
          <w:p w14:paraId="27E7CFDB" w14:textId="031DD569" w:rsidR="00AE6FB8" w:rsidRPr="00957B06" w:rsidRDefault="00AE6FB8" w:rsidP="00AE6FB8">
            <w:pPr>
              <w:rPr>
                <w:rFonts w:cs="Calibri"/>
                <w:color w:val="000000"/>
              </w:rPr>
            </w:pPr>
          </w:p>
          <w:p w14:paraId="2A90D03F" w14:textId="1091D616" w:rsidR="00AE6FB8" w:rsidRPr="00957B06" w:rsidRDefault="00AE6FB8" w:rsidP="00AE6FB8">
            <w:pPr>
              <w:rPr>
                <w:rFonts w:cs="Calibri"/>
                <w:color w:val="000000"/>
              </w:rPr>
            </w:pPr>
          </w:p>
          <w:p w14:paraId="45CEC243" w14:textId="27FF6DFE" w:rsidR="00AE6FB8" w:rsidRPr="00957B06" w:rsidRDefault="00AE6FB8" w:rsidP="00AE6FB8">
            <w:pPr>
              <w:rPr>
                <w:rFonts w:cs="Calibri"/>
                <w:color w:val="000000"/>
              </w:rPr>
            </w:pPr>
          </w:p>
          <w:p w14:paraId="0D2B6119" w14:textId="5438BBEC" w:rsidR="00AE6FB8" w:rsidRPr="00957B06" w:rsidRDefault="00AE6FB8" w:rsidP="00AE6FB8">
            <w:pPr>
              <w:rPr>
                <w:rFonts w:cs="Calibri"/>
                <w:color w:val="000000"/>
              </w:rPr>
            </w:pPr>
          </w:p>
          <w:p w14:paraId="1F8E1D49" w14:textId="2A06371D" w:rsidR="00AE6FB8" w:rsidRPr="00957B06" w:rsidRDefault="00AE6FB8" w:rsidP="00AE6FB8">
            <w:pPr>
              <w:rPr>
                <w:rFonts w:cs="Calibri"/>
                <w:color w:val="000000"/>
              </w:rPr>
            </w:pPr>
          </w:p>
          <w:p w14:paraId="201B9FD1" w14:textId="77777777" w:rsidR="00AE6FB8" w:rsidRPr="00957B06" w:rsidRDefault="00AE6FB8" w:rsidP="00AE6FB8">
            <w:pPr>
              <w:rPr>
                <w:rFonts w:cs="Calibri"/>
                <w:color w:val="000000"/>
              </w:rPr>
            </w:pPr>
          </w:p>
          <w:p w14:paraId="2D5F1F95" w14:textId="3F43D992" w:rsidR="00C54C9F" w:rsidRPr="00957B06" w:rsidRDefault="00AE6FB8" w:rsidP="00AE6FB8">
            <w:pPr>
              <w:rPr>
                <w:rFonts w:cs="Calibri"/>
                <w:color w:val="000000"/>
              </w:rPr>
            </w:pPr>
            <w:r w:rsidRPr="00957B06">
              <w:rPr>
                <w:rFonts w:cs="Calibri"/>
                <w:color w:val="000000"/>
              </w:rPr>
              <w:t xml:space="preserve">- </w:t>
            </w:r>
            <w:r w:rsidR="00C54C9F" w:rsidRPr="00957B06">
              <w:rPr>
                <w:rFonts w:cs="Calibri"/>
                <w:color w:val="000000"/>
              </w:rPr>
              <w:t>Konkurencyjność  gospodarki i przedsiębiorczość, w tym funkcjonowanie przedsiębiorców</w:t>
            </w:r>
          </w:p>
          <w:p w14:paraId="41793AB0" w14:textId="21941AE8" w:rsidR="00332D5B" w:rsidRPr="00957B06" w:rsidRDefault="00332D5B" w:rsidP="00AE6FB8">
            <w:pPr>
              <w:rPr>
                <w:rFonts w:cs="Calibri"/>
                <w:color w:val="000000"/>
              </w:rPr>
            </w:pPr>
            <w:r w:rsidRPr="00957B06">
              <w:rPr>
                <w:rFonts w:cs="Calibri"/>
                <w:color w:val="000000"/>
              </w:rPr>
              <w:t xml:space="preserve">Możliwość poprawy wizerunku firmy i marki, związana z wdrażaniem </w:t>
            </w:r>
            <w:r w:rsidRPr="00957B06">
              <w:rPr>
                <w:rFonts w:cs="Calibri"/>
                <w:color w:val="000000"/>
              </w:rPr>
              <w:lastRenderedPageBreak/>
              <w:t>społecznej odpowiedzialności biznesu w zakresie poprawy dostępności. Dodatkowo zwiększone zapotrzebowanie ze strony podmiotów publicznych na usługi i produkty służące poprawie dostępności będzie sprzyjać rozwojowi tych segmentów gospodarki</w:t>
            </w:r>
            <w:r w:rsidR="0054711B" w:rsidRPr="00957B06">
              <w:rPr>
                <w:rFonts w:cs="Calibri"/>
                <w:color w:val="000000"/>
              </w:rPr>
              <w:t>,</w:t>
            </w:r>
            <w:r w:rsidRPr="00957B06">
              <w:rPr>
                <w:rFonts w:cs="Calibri"/>
                <w:color w:val="000000"/>
              </w:rPr>
              <w:t xml:space="preserve"> które wypełniają istniejącą niszę w tym zakresie. Chodzi tu głównie o technologie kompensacyjne i asystujące np. nowe urządzenia ICT do komunikacji, e-handlu, wirtualnej rzeczywistości, usług on-line i inne uzupełniające ograniczenia zmysłowe czy w mobilności. W szczególności w  przypadku dużych firm może to pobudzać wzrost ich innowacyjności i poszukiwanie rozwiązań</w:t>
            </w:r>
            <w:r w:rsidR="0054711B" w:rsidRPr="00957B06">
              <w:rPr>
                <w:rFonts w:cs="Calibri"/>
                <w:color w:val="000000"/>
              </w:rPr>
              <w:t>,</w:t>
            </w:r>
            <w:r w:rsidRPr="00957B06">
              <w:rPr>
                <w:rFonts w:cs="Calibri"/>
                <w:color w:val="000000"/>
              </w:rPr>
              <w:t xml:space="preserve"> które będą sprzyjać poprawie dostępności a po stronie producenta zapewnią mu zwiększoną konkurencyjność i potencjalne zyski.</w:t>
            </w:r>
          </w:p>
          <w:p w14:paraId="24381529" w14:textId="5A2FA1E9" w:rsidR="00C54C9F" w:rsidRPr="00957B06" w:rsidRDefault="00C54C9F" w:rsidP="00AE6FB8">
            <w:pPr>
              <w:rPr>
                <w:rFonts w:cs="Calibri"/>
                <w:color w:val="000000"/>
              </w:rPr>
            </w:pPr>
          </w:p>
          <w:p w14:paraId="70633DCF" w14:textId="2A472A0F" w:rsidR="00DC68A6" w:rsidRPr="00957B06" w:rsidRDefault="00DC68A6" w:rsidP="00AE6FB8">
            <w:pPr>
              <w:rPr>
                <w:rFonts w:cs="Calibri"/>
                <w:color w:val="000000"/>
              </w:rPr>
            </w:pPr>
          </w:p>
          <w:p w14:paraId="07253EAB" w14:textId="3AE1E8F5" w:rsidR="00DC68A6" w:rsidRPr="00957B06" w:rsidRDefault="00DC68A6" w:rsidP="00AE6FB8">
            <w:pPr>
              <w:rPr>
                <w:rFonts w:cs="Calibri"/>
                <w:color w:val="000000"/>
              </w:rPr>
            </w:pPr>
          </w:p>
          <w:p w14:paraId="07B2D9BF" w14:textId="73582696" w:rsidR="00DC68A6" w:rsidRPr="00957B06" w:rsidRDefault="00DC68A6" w:rsidP="00AE6FB8">
            <w:pPr>
              <w:rPr>
                <w:rFonts w:cs="Calibri"/>
                <w:color w:val="000000"/>
              </w:rPr>
            </w:pPr>
          </w:p>
          <w:p w14:paraId="17CD3D29" w14:textId="37AFFA54" w:rsidR="00DC68A6" w:rsidRPr="00957B06" w:rsidRDefault="00DC68A6" w:rsidP="00AE6FB8">
            <w:pPr>
              <w:rPr>
                <w:rFonts w:cs="Calibri"/>
                <w:color w:val="000000"/>
              </w:rPr>
            </w:pPr>
          </w:p>
          <w:p w14:paraId="75233756" w14:textId="630EE1BD" w:rsidR="00DC68A6" w:rsidRPr="00957B06" w:rsidRDefault="00DC68A6" w:rsidP="00AE6FB8">
            <w:pPr>
              <w:rPr>
                <w:rFonts w:cs="Calibri"/>
                <w:color w:val="000000"/>
              </w:rPr>
            </w:pPr>
          </w:p>
          <w:p w14:paraId="4CF70778" w14:textId="3BE67171" w:rsidR="00DC68A6" w:rsidRPr="00957B06" w:rsidRDefault="00DC68A6" w:rsidP="00AE6FB8">
            <w:pPr>
              <w:rPr>
                <w:rFonts w:cs="Calibri"/>
                <w:color w:val="000000"/>
              </w:rPr>
            </w:pPr>
          </w:p>
          <w:p w14:paraId="129AD6A4" w14:textId="59291C35" w:rsidR="00DC68A6" w:rsidRPr="00957B06" w:rsidRDefault="00DC68A6" w:rsidP="00AE6FB8">
            <w:pPr>
              <w:rPr>
                <w:rFonts w:cs="Calibri"/>
                <w:color w:val="000000"/>
              </w:rPr>
            </w:pPr>
          </w:p>
          <w:p w14:paraId="192BF3CC" w14:textId="4634AB15" w:rsidR="00DC68A6" w:rsidRPr="00957B06" w:rsidRDefault="00DC68A6" w:rsidP="00AE6FB8">
            <w:pPr>
              <w:rPr>
                <w:rFonts w:cs="Calibri"/>
                <w:color w:val="000000"/>
              </w:rPr>
            </w:pPr>
          </w:p>
          <w:p w14:paraId="4E79F7BB" w14:textId="382196A7" w:rsidR="00DC68A6" w:rsidRPr="00957B06" w:rsidRDefault="00DC68A6" w:rsidP="00AE6FB8">
            <w:pPr>
              <w:rPr>
                <w:rFonts w:cs="Calibri"/>
                <w:color w:val="000000"/>
              </w:rPr>
            </w:pPr>
          </w:p>
          <w:p w14:paraId="7B9D56B6" w14:textId="5E148059" w:rsidR="00DC68A6" w:rsidRPr="00957B06" w:rsidRDefault="00DC68A6" w:rsidP="00AE6FB8">
            <w:pPr>
              <w:rPr>
                <w:rFonts w:cs="Calibri"/>
                <w:color w:val="000000"/>
              </w:rPr>
            </w:pPr>
          </w:p>
          <w:p w14:paraId="538CB677" w14:textId="5840CECB" w:rsidR="00DC68A6" w:rsidRPr="00957B06" w:rsidRDefault="00DC68A6" w:rsidP="00AE6FB8">
            <w:pPr>
              <w:rPr>
                <w:rFonts w:cs="Calibri"/>
                <w:color w:val="000000"/>
              </w:rPr>
            </w:pPr>
          </w:p>
          <w:p w14:paraId="494A1A3C" w14:textId="3ADD5D7E" w:rsidR="00DC68A6" w:rsidRPr="00957B06" w:rsidRDefault="00DC68A6" w:rsidP="00AE6FB8">
            <w:pPr>
              <w:rPr>
                <w:rFonts w:cs="Calibri"/>
                <w:color w:val="000000"/>
              </w:rPr>
            </w:pPr>
          </w:p>
          <w:p w14:paraId="5958819D" w14:textId="337151E2" w:rsidR="00DC68A6" w:rsidRPr="00957B06" w:rsidRDefault="00DC68A6" w:rsidP="00AE6FB8">
            <w:pPr>
              <w:rPr>
                <w:rFonts w:cs="Calibri"/>
                <w:color w:val="000000"/>
              </w:rPr>
            </w:pPr>
          </w:p>
          <w:p w14:paraId="1D5F0985" w14:textId="61FCF28E" w:rsidR="00DC68A6" w:rsidRPr="00957B06" w:rsidRDefault="00DC68A6" w:rsidP="00AE6FB8">
            <w:pPr>
              <w:rPr>
                <w:rFonts w:cs="Calibri"/>
                <w:color w:val="000000"/>
              </w:rPr>
            </w:pPr>
          </w:p>
          <w:p w14:paraId="3FF2171D" w14:textId="456D9218" w:rsidR="00DC68A6" w:rsidRPr="00957B06" w:rsidRDefault="00DC68A6" w:rsidP="00AE6FB8">
            <w:pPr>
              <w:rPr>
                <w:rFonts w:cs="Calibri"/>
                <w:color w:val="000000"/>
              </w:rPr>
            </w:pPr>
          </w:p>
          <w:p w14:paraId="178A8567" w14:textId="382C7C5D" w:rsidR="00DC68A6" w:rsidRPr="00957B06" w:rsidRDefault="00DC68A6" w:rsidP="00AE6FB8">
            <w:pPr>
              <w:rPr>
                <w:rFonts w:cs="Calibri"/>
                <w:color w:val="000000"/>
              </w:rPr>
            </w:pPr>
          </w:p>
          <w:p w14:paraId="1DABBB40" w14:textId="603B5A51" w:rsidR="00DC68A6" w:rsidRPr="00957B06" w:rsidRDefault="00DC68A6" w:rsidP="00AE6FB8">
            <w:pPr>
              <w:rPr>
                <w:rFonts w:cs="Calibri"/>
                <w:color w:val="000000"/>
              </w:rPr>
            </w:pPr>
          </w:p>
          <w:p w14:paraId="6004CDFC" w14:textId="335F205A" w:rsidR="00DC68A6" w:rsidRPr="00957B06" w:rsidRDefault="00DC68A6" w:rsidP="00AE6FB8">
            <w:pPr>
              <w:rPr>
                <w:rFonts w:cs="Calibri"/>
                <w:color w:val="000000"/>
              </w:rPr>
            </w:pPr>
          </w:p>
          <w:p w14:paraId="6368F46F" w14:textId="4C763B10" w:rsidR="00DC68A6" w:rsidRPr="00957B06" w:rsidRDefault="00DC68A6" w:rsidP="00AE6FB8">
            <w:pPr>
              <w:rPr>
                <w:rFonts w:cs="Calibri"/>
                <w:color w:val="000000"/>
              </w:rPr>
            </w:pPr>
          </w:p>
          <w:p w14:paraId="6EC4AE80" w14:textId="0A674E9A" w:rsidR="00DC68A6" w:rsidRPr="00957B06" w:rsidRDefault="00DC68A6" w:rsidP="00AE6FB8">
            <w:pPr>
              <w:rPr>
                <w:rFonts w:cs="Calibri"/>
                <w:color w:val="000000"/>
              </w:rPr>
            </w:pPr>
          </w:p>
          <w:p w14:paraId="383F2537" w14:textId="69837C74" w:rsidR="00DC68A6" w:rsidRPr="00957B06" w:rsidRDefault="00DC68A6" w:rsidP="00AE6FB8">
            <w:pPr>
              <w:rPr>
                <w:rFonts w:cs="Calibri"/>
                <w:color w:val="000000"/>
              </w:rPr>
            </w:pPr>
          </w:p>
          <w:p w14:paraId="744A674C" w14:textId="6569C3CC" w:rsidR="00DC68A6" w:rsidRPr="00957B06" w:rsidRDefault="00DC68A6" w:rsidP="00AE6FB8">
            <w:pPr>
              <w:rPr>
                <w:rFonts w:cs="Calibri"/>
                <w:color w:val="000000"/>
              </w:rPr>
            </w:pPr>
          </w:p>
          <w:p w14:paraId="2589463F" w14:textId="1E58B043" w:rsidR="00DC68A6" w:rsidRPr="00957B06" w:rsidRDefault="00DC68A6" w:rsidP="00AE6FB8">
            <w:pPr>
              <w:rPr>
                <w:rFonts w:cs="Calibri"/>
                <w:color w:val="000000"/>
              </w:rPr>
            </w:pPr>
          </w:p>
          <w:p w14:paraId="4B6EB7DB" w14:textId="71902B44" w:rsidR="00DC68A6" w:rsidRPr="00957B06" w:rsidRDefault="00DC68A6" w:rsidP="00AE6FB8">
            <w:pPr>
              <w:rPr>
                <w:rFonts w:cs="Calibri"/>
                <w:color w:val="000000"/>
              </w:rPr>
            </w:pPr>
          </w:p>
          <w:p w14:paraId="42D8C052" w14:textId="1056E3EE" w:rsidR="00DC68A6" w:rsidRPr="00957B06" w:rsidRDefault="00DC68A6" w:rsidP="00AE6FB8">
            <w:pPr>
              <w:rPr>
                <w:rFonts w:cs="Calibri"/>
                <w:color w:val="000000"/>
              </w:rPr>
            </w:pPr>
          </w:p>
          <w:p w14:paraId="7072E8A4" w14:textId="0353CADA" w:rsidR="00DC68A6" w:rsidRPr="00957B06" w:rsidRDefault="00DC68A6" w:rsidP="00AE6FB8">
            <w:pPr>
              <w:rPr>
                <w:rFonts w:cs="Calibri"/>
                <w:color w:val="000000"/>
              </w:rPr>
            </w:pPr>
          </w:p>
          <w:p w14:paraId="4099B6A2" w14:textId="6400297D" w:rsidR="00DC68A6" w:rsidRPr="00957B06" w:rsidRDefault="00DC68A6" w:rsidP="00AE6FB8">
            <w:pPr>
              <w:rPr>
                <w:rFonts w:cs="Calibri"/>
                <w:color w:val="000000"/>
              </w:rPr>
            </w:pPr>
          </w:p>
          <w:p w14:paraId="75447992" w14:textId="5EF8DC16" w:rsidR="00DC68A6" w:rsidRPr="00957B06" w:rsidRDefault="00DC68A6" w:rsidP="00AE6FB8">
            <w:pPr>
              <w:rPr>
                <w:rFonts w:cs="Calibri"/>
                <w:color w:val="000000"/>
              </w:rPr>
            </w:pPr>
          </w:p>
          <w:p w14:paraId="3CB1A952" w14:textId="77777777" w:rsidR="00DC68A6" w:rsidRPr="00957B06" w:rsidRDefault="00DC68A6" w:rsidP="00AE6FB8">
            <w:pPr>
              <w:rPr>
                <w:rFonts w:cs="Calibri"/>
                <w:color w:val="000000"/>
              </w:rPr>
            </w:pPr>
          </w:p>
          <w:p w14:paraId="4C8AC3A3" w14:textId="0CEACC6B" w:rsidR="00C54C9F" w:rsidRPr="00957B06" w:rsidRDefault="00C54C9F" w:rsidP="00AE6FB8">
            <w:pPr>
              <w:rPr>
                <w:rFonts w:cs="Calibri"/>
                <w:color w:val="000000"/>
              </w:rPr>
            </w:pPr>
            <w:r w:rsidRPr="00957B06">
              <w:rPr>
                <w:rFonts w:cs="Calibri"/>
                <w:color w:val="000000"/>
              </w:rPr>
              <w:t>- Rodzina, obywatele oraz gospodarstwa domowe</w:t>
            </w:r>
          </w:p>
          <w:p w14:paraId="0E3AFCB2" w14:textId="77777777" w:rsidR="00332D5B" w:rsidRPr="00957B06" w:rsidRDefault="00332D5B" w:rsidP="008A39C3">
            <w:pPr>
              <w:rPr>
                <w:rFonts w:cs="Calibri"/>
                <w:color w:val="000000"/>
              </w:rPr>
            </w:pPr>
            <w:r w:rsidRPr="00957B06">
              <w:rPr>
                <w:rFonts w:cs="Calibri"/>
                <w:color w:val="000000"/>
              </w:rPr>
              <w:t xml:space="preserve">Z punktu widzenia konieczności zapewnienia dostępności przestrzeni publicznej, beneficjentami środowiska dostępnego będą nie tylko osoby ze szczególnymi potrzebami, ale całe społeczeństwo. Ocenia się, że nawet ok. 30% społeczeństwa może mieć trwałe lub czasowe obniżoną sprawność w zakresie mobilności czy percepcji. </w:t>
            </w:r>
            <w:r w:rsidRPr="00957B06">
              <w:rPr>
                <w:rFonts w:cs="Calibri"/>
                <w:color w:val="000000"/>
              </w:rPr>
              <w:lastRenderedPageBreak/>
              <w:t xml:space="preserve">Należą do nich: ludzie poruszający się przy pomocy sprzętu wspomagającego (nie tylko osoby niepełnosprawne, ale także seniorzy tj. kul, lasek, balkoników, protez, wózków inwalidzkich), z uszkodzonym narządem słuchu, wzroku, z trudnościami manualnymi i poznawczymi (np. po udarze), w ciąży, z wózkiem dziecięcym, z ciężkim bagażem oraz innych słabszych fizycznie (np. w wyniku choroby) i mających trudności w poruszaniu się.  </w:t>
            </w:r>
          </w:p>
          <w:p w14:paraId="26B0EB88" w14:textId="07FCED58" w:rsidR="00332D5B" w:rsidRPr="00957B06" w:rsidRDefault="00332D5B" w:rsidP="00AE6FB8">
            <w:pPr>
              <w:rPr>
                <w:rFonts w:cs="Calibri"/>
                <w:color w:val="000000"/>
              </w:rPr>
            </w:pPr>
            <w:r w:rsidRPr="00957B06">
              <w:rPr>
                <w:rFonts w:cs="Calibri"/>
                <w:color w:val="000000"/>
              </w:rPr>
              <w:t xml:space="preserve">Dostępność, w tym zapewniona za pomocą uniwersalnego projektowania (tj. projektowania dla wszystkich) nie koncentruje się wyłącznie na osobach z największymi trudności np. osobach z niepełnosprawnościami. Jest podejściem zorientowanym na człowieka. W życiu codziennym, dostępność miejsca zamieszkania - bloku, budynku mieszkalnego, placówki edukacyjnej, środków transportu, miejsca pracy, placówek medycznych czy instytucji publicznych jest jednym z fundamentalnych elementów </w:t>
            </w:r>
            <w:proofErr w:type="spellStart"/>
            <w:r w:rsidRPr="00957B06">
              <w:rPr>
                <w:rFonts w:cs="Calibri"/>
                <w:color w:val="000000"/>
              </w:rPr>
              <w:t>inkluzywnego</w:t>
            </w:r>
            <w:proofErr w:type="spellEnd"/>
            <w:r w:rsidRPr="00957B06">
              <w:rPr>
                <w:rFonts w:cs="Calibri"/>
                <w:color w:val="000000"/>
              </w:rPr>
              <w:t xml:space="preserve"> społeczeństwa, opartego na zasadach równości i solidarności.</w:t>
            </w:r>
          </w:p>
          <w:p w14:paraId="1DAE5352" w14:textId="38A5DAEB" w:rsidR="00C54C9F" w:rsidRPr="00957B06" w:rsidRDefault="00C54C9F" w:rsidP="00AE6FB8">
            <w:pPr>
              <w:rPr>
                <w:rFonts w:cs="Calibri"/>
                <w:color w:val="000000"/>
              </w:rPr>
            </w:pPr>
          </w:p>
          <w:p w14:paraId="4DCC4755" w14:textId="30D9592D" w:rsidR="007979E4" w:rsidRPr="00957B06" w:rsidRDefault="007979E4" w:rsidP="00AE6FB8">
            <w:pPr>
              <w:rPr>
                <w:rFonts w:cs="Calibri"/>
                <w:color w:val="000000"/>
              </w:rPr>
            </w:pPr>
          </w:p>
          <w:p w14:paraId="1D3EF043" w14:textId="1293F6CF" w:rsidR="007979E4" w:rsidRPr="00957B06" w:rsidRDefault="007979E4" w:rsidP="00AE6FB8">
            <w:pPr>
              <w:rPr>
                <w:rFonts w:cs="Calibri"/>
                <w:color w:val="000000"/>
              </w:rPr>
            </w:pPr>
          </w:p>
          <w:p w14:paraId="51702D14" w14:textId="577E35DA" w:rsidR="007979E4" w:rsidRPr="00957B06" w:rsidRDefault="007979E4" w:rsidP="00AE6FB8">
            <w:pPr>
              <w:rPr>
                <w:rFonts w:cs="Calibri"/>
                <w:color w:val="000000"/>
              </w:rPr>
            </w:pPr>
          </w:p>
          <w:p w14:paraId="1FE4C104" w14:textId="25CD819C" w:rsidR="007979E4" w:rsidRPr="00957B06" w:rsidRDefault="007979E4" w:rsidP="00AE6FB8">
            <w:pPr>
              <w:rPr>
                <w:rFonts w:cs="Calibri"/>
                <w:color w:val="000000"/>
              </w:rPr>
            </w:pPr>
          </w:p>
          <w:p w14:paraId="57F1F844" w14:textId="78CE2430" w:rsidR="007979E4" w:rsidRPr="00957B06" w:rsidRDefault="007979E4" w:rsidP="00AE6FB8">
            <w:pPr>
              <w:rPr>
                <w:rFonts w:cs="Calibri"/>
                <w:color w:val="000000"/>
              </w:rPr>
            </w:pPr>
          </w:p>
          <w:p w14:paraId="078F2CDE" w14:textId="77777777" w:rsidR="007979E4" w:rsidRPr="00957B06" w:rsidRDefault="007979E4" w:rsidP="00AE6FB8">
            <w:pPr>
              <w:rPr>
                <w:rFonts w:cs="Calibri"/>
                <w:color w:val="000000"/>
              </w:rPr>
            </w:pPr>
          </w:p>
          <w:p w14:paraId="6FCA7150" w14:textId="77777777" w:rsidR="00304F58" w:rsidRPr="00957B06" w:rsidRDefault="00304F58" w:rsidP="00AE6FB8">
            <w:pPr>
              <w:rPr>
                <w:rFonts w:cs="Calibri"/>
                <w:color w:val="000000"/>
              </w:rPr>
            </w:pPr>
          </w:p>
          <w:p w14:paraId="0ADAAB13" w14:textId="33ED5AE1" w:rsidR="00C54C9F" w:rsidRPr="00957B06" w:rsidRDefault="00304F58" w:rsidP="00AE6FB8">
            <w:pPr>
              <w:rPr>
                <w:rFonts w:cs="Calibri"/>
                <w:color w:val="000000"/>
              </w:rPr>
            </w:pPr>
            <w:r w:rsidRPr="00957B06">
              <w:rPr>
                <w:rFonts w:cs="Calibri"/>
                <w:color w:val="000000"/>
              </w:rPr>
              <w:t xml:space="preserve">- </w:t>
            </w:r>
            <w:r w:rsidR="00C54C9F" w:rsidRPr="00957B06">
              <w:rPr>
                <w:rFonts w:cs="Calibri"/>
                <w:color w:val="000000"/>
              </w:rPr>
              <w:t>Rynek pracy</w:t>
            </w:r>
          </w:p>
          <w:p w14:paraId="7B781BBF" w14:textId="5CC1DF81" w:rsidR="00332D5B" w:rsidRPr="00957B06" w:rsidRDefault="00332D5B" w:rsidP="00AE6FB8">
            <w:pPr>
              <w:rPr>
                <w:rFonts w:cs="Calibri"/>
                <w:color w:val="000000"/>
              </w:rPr>
            </w:pPr>
            <w:r w:rsidRPr="00957B06">
              <w:rPr>
                <w:rFonts w:cs="Calibri"/>
                <w:color w:val="000000"/>
              </w:rPr>
              <w:t xml:space="preserve">Szacowano, że projektowana regulacja wpłynie pozytywnie na rynek pracy zwłaszcza w odniesieniu do tej grupy społecznej – aczkolwiek nie jest to główne zadanie tej ustawy. Funkcjonowanie przepisów zapewniających dostępność podmiotów publicznych może przyczynić się do zwiększonej podaży pracy w tej grupie i spowodować efekt w postaci wzrostu zatrudnienia osób z niepełnosprawnościami. Jest to oczekiwany przez gospodarkę impuls podażowy po stronie kapitału ludzkiego, który w sytuacji coraz bardziej odczuwalnego braku siły roboczej staje się niezbędny dla utrzymania równowagi produkcyjnej i zachowania wydajności polskiej gospodarki. Ustawa poprzez zapewnienie warunków do bardziej samodzielnego i niezależnego funkcjonowania osób z niepełnosprawnościami pozwala na realne sięganie do ukrytych rezerw kapitału ludzkiego i tym samym poprawia równowagę podaży i popytu na </w:t>
            </w:r>
            <w:r w:rsidRPr="00957B06">
              <w:rPr>
                <w:rFonts w:cs="Calibri"/>
                <w:color w:val="000000"/>
              </w:rPr>
              <w:lastRenderedPageBreak/>
              <w:t>rynku pracy. Zgodnie z danymi Głównego Urzędu Statystycznego w końcu 2017 r. liczba bezrobotnych zarejestrowanych wyniosła 1 081,7 tys. z czego osoby niepełnosprawne orzeczone to 66,8 tys. (6,2% ogólnej liczby bezrobotnych) . Wiele z tych osób pomimo niepełnosprawności mogłoby i chciałoby wykonywać pracę, ale istniejące bariery uniemożliwiają im to, ze szkodą dla ich rehabilitacji społecznej, poczucia wartości, a także zmniejsza podaż pracy</w:t>
            </w:r>
            <w:r w:rsidRPr="00467BD3">
              <w:rPr>
                <w:rFonts w:cs="Calibri"/>
                <w:color w:val="000000"/>
              </w:rPr>
              <w:footnoteReference w:id="9"/>
            </w:r>
            <w:r w:rsidRPr="00467BD3">
              <w:rPr>
                <w:rFonts w:cs="Calibri"/>
                <w:color w:val="000000"/>
              </w:rPr>
              <w:t xml:space="preserve">. Według GUS </w:t>
            </w:r>
            <w:r w:rsidR="000A6593" w:rsidRPr="00957B06">
              <w:rPr>
                <w:rFonts w:cs="Calibri"/>
                <w:color w:val="000000"/>
              </w:rPr>
              <w:t xml:space="preserve">zakładano, że </w:t>
            </w:r>
            <w:r w:rsidRPr="00957B06">
              <w:rPr>
                <w:rFonts w:cs="Calibri"/>
                <w:color w:val="000000"/>
              </w:rPr>
              <w:t>liczba osób w wieku produkcyjnym (od 18 do 59/64 lat) zmniejszy się do ok. 22 mln w 2025 r., czyli o ponad 2 mln w porównaniu z 2014 r. Według danych GUS, w II kwartale 2018 r. liczba osób biernych zawodowo sięgała 13,3 mln osób (z tego prawie 5,</w:t>
            </w:r>
            <w:r w:rsidR="000A6593" w:rsidRPr="00957B06">
              <w:rPr>
                <w:rFonts w:cs="Calibri"/>
                <w:color w:val="000000"/>
              </w:rPr>
              <w:t>2</w:t>
            </w:r>
            <w:r w:rsidRPr="00957B06">
              <w:rPr>
                <w:rFonts w:cs="Calibri"/>
                <w:color w:val="000000"/>
              </w:rPr>
              <w:t xml:space="preserve"> mln w wieku produkcyjnym). Przybyło również emerytów i </w:t>
            </w:r>
            <w:r w:rsidR="00046537" w:rsidRPr="00957B06">
              <w:rPr>
                <w:rFonts w:cs="Calibri"/>
                <w:color w:val="000000"/>
              </w:rPr>
              <w:t xml:space="preserve">rencistów </w:t>
            </w:r>
            <w:r w:rsidRPr="00957B06">
              <w:rPr>
                <w:rFonts w:cs="Calibri"/>
                <w:color w:val="000000"/>
              </w:rPr>
              <w:t xml:space="preserve">(ich liczba wzrosła do 8,9 mln – dane z 2016 r.), z których również część chce i może podejmować zatrudnienie lub inną aktywność społeczną przy zapewnieniu im do tego odpowiednich warunków (czy np. możliwości samodzielnego dojazdu, budynków dostosowanych do ich potrzeb wynikających z wieku i ograniczeń zdrowotnych, dostosowanych usług komunikacyjnych). </w:t>
            </w:r>
          </w:p>
          <w:p w14:paraId="6A1576DE" w14:textId="49CD58C9" w:rsidR="00C54C9F" w:rsidRPr="00957B06" w:rsidRDefault="00332D5B" w:rsidP="00AE6FB8">
            <w:pPr>
              <w:rPr>
                <w:rFonts w:cs="Calibri"/>
                <w:color w:val="000000"/>
              </w:rPr>
            </w:pPr>
            <w:r w:rsidRPr="00957B06">
              <w:rPr>
                <w:rFonts w:cs="Calibri"/>
                <w:color w:val="000000"/>
              </w:rPr>
              <w:t>Zgodnie z projektowaną regulacją, jednym z mechanizmów zachęty do poprawy dostępności w przypadku podmiotów prywatnych, jest możliwość obniżenia wpłat składki pracodawcy innego niż podmiot publiczny na PFRON o 5%, o ile podmiot taki uzyska  certyfikat dostępności o którym mowa w rozdziale 3 ustawy. Na podstawie danych PFRON za 2018 r. można wskazać, że średniomiesięcznie deklaracje wpłat na PFRON składa ponad 27 tys. pracodawców na kwotę ok. 390 mln zł (miesięcznie). W związku z tym powyższy mechanizm może skutkować zmniejszeniem wpłat na PFRON w skali roku o ok. 234 mln zł.</w:t>
            </w:r>
          </w:p>
          <w:p w14:paraId="46B88969" w14:textId="77777777" w:rsidR="00332D5B" w:rsidRPr="00957B06" w:rsidRDefault="00332D5B" w:rsidP="00AE6FB8">
            <w:pPr>
              <w:rPr>
                <w:rFonts w:cs="Calibri"/>
                <w:color w:val="000000"/>
              </w:rPr>
            </w:pPr>
          </w:p>
          <w:p w14:paraId="6BD2A56D" w14:textId="77777777" w:rsidR="00C54C9F" w:rsidRPr="00957B06" w:rsidRDefault="00C54C9F" w:rsidP="00AE6FB8">
            <w:pPr>
              <w:rPr>
                <w:rFonts w:cs="Calibri"/>
                <w:color w:val="000000"/>
              </w:rPr>
            </w:pPr>
            <w:r w:rsidRPr="00957B06">
              <w:rPr>
                <w:rFonts w:cs="Calibri"/>
                <w:color w:val="000000"/>
              </w:rPr>
              <w:t>Pozostałe</w:t>
            </w:r>
          </w:p>
          <w:p w14:paraId="00AF9ACF" w14:textId="0B214994" w:rsidR="00C54C9F" w:rsidRPr="00957B06" w:rsidRDefault="00C54C9F" w:rsidP="00AE6FB8">
            <w:pPr>
              <w:rPr>
                <w:rFonts w:cs="Calibri"/>
                <w:color w:val="000000"/>
              </w:rPr>
            </w:pPr>
            <w:r w:rsidRPr="00957B06">
              <w:rPr>
                <w:rFonts w:cs="Calibri"/>
                <w:color w:val="000000"/>
              </w:rPr>
              <w:t>Nie dotyczy (na etapie analizy ex-</w:t>
            </w:r>
            <w:proofErr w:type="spellStart"/>
            <w:r w:rsidRPr="00957B06">
              <w:rPr>
                <w:rFonts w:cs="Calibri"/>
                <w:color w:val="000000"/>
              </w:rPr>
              <w:t>ante</w:t>
            </w:r>
            <w:proofErr w:type="spellEnd"/>
            <w:r w:rsidRPr="00957B06">
              <w:rPr>
                <w:rFonts w:cs="Calibri"/>
                <w:color w:val="000000"/>
              </w:rPr>
              <w:t xml:space="preserve"> nie zidentyfikowano innych aspektów).</w:t>
            </w:r>
          </w:p>
          <w:p w14:paraId="19DE93D9" w14:textId="01E1B712" w:rsidR="00C54C9F" w:rsidRPr="00957B06" w:rsidRDefault="00C54C9F" w:rsidP="00AE6FB8">
            <w:pPr>
              <w:rPr>
                <w:rFonts w:cs="Calibri"/>
                <w:color w:val="000000"/>
              </w:rPr>
            </w:pPr>
          </w:p>
          <w:p w14:paraId="4B38E5BC" w14:textId="77777777" w:rsidR="00C54C9F" w:rsidRPr="00957B06" w:rsidRDefault="00C54C9F" w:rsidP="00AE6FB8">
            <w:pPr>
              <w:rPr>
                <w:rFonts w:cs="Calibri"/>
                <w:color w:val="000000"/>
              </w:rPr>
            </w:pPr>
          </w:p>
          <w:p w14:paraId="41E0086A" w14:textId="0AAE7280" w:rsidR="00C54C9F" w:rsidRPr="00957B06" w:rsidRDefault="00C54C9F" w:rsidP="00AE6FB8">
            <w:pPr>
              <w:rPr>
                <w:rFonts w:cs="Calibri"/>
                <w:color w:val="000000"/>
              </w:rPr>
            </w:pPr>
          </w:p>
          <w:p w14:paraId="616B4648" w14:textId="77777777" w:rsidR="00C54C9F" w:rsidRPr="00957B06" w:rsidRDefault="00C54C9F" w:rsidP="00AE6FB8">
            <w:pPr>
              <w:rPr>
                <w:rFonts w:cs="Calibri"/>
                <w:color w:val="000000"/>
              </w:rPr>
            </w:pPr>
          </w:p>
          <w:p w14:paraId="3D6707E1" w14:textId="354B5A44" w:rsidR="00C54C9F" w:rsidRPr="00957B06" w:rsidRDefault="00C54C9F" w:rsidP="00AE6FB8">
            <w:pPr>
              <w:rPr>
                <w:rFonts w:cs="Calibri"/>
                <w:color w:val="000000"/>
              </w:rPr>
            </w:pPr>
            <w:r w:rsidRPr="00957B06">
              <w:rPr>
                <w:rFonts w:cs="Calibri"/>
                <w:color w:val="000000"/>
              </w:rPr>
              <w:t xml:space="preserve"> </w:t>
            </w:r>
          </w:p>
        </w:tc>
        <w:tc>
          <w:tcPr>
            <w:tcW w:w="3689" w:type="dxa"/>
          </w:tcPr>
          <w:p w14:paraId="34A61E60" w14:textId="727532B3" w:rsidR="009C15F8" w:rsidRPr="00957B06" w:rsidRDefault="00E06656" w:rsidP="00E60931">
            <w:pPr>
              <w:pStyle w:val="TableParagraph"/>
              <w:ind w:left="107" w:right="94"/>
              <w:rPr>
                <w:rFonts w:cs="Calibri"/>
                <w:color w:val="000000"/>
              </w:rPr>
            </w:pPr>
            <w:r w:rsidRPr="00957B06">
              <w:rPr>
                <w:rFonts w:cs="Calibri"/>
                <w:color w:val="000000"/>
              </w:rPr>
              <w:lastRenderedPageBreak/>
              <w:t>- Budżet państwa, JST i inne jednostki SFP</w:t>
            </w:r>
          </w:p>
          <w:p w14:paraId="131FE289" w14:textId="71231C9B" w:rsidR="00BA27ED" w:rsidRPr="00957B06" w:rsidRDefault="00312888" w:rsidP="00E60931">
            <w:pPr>
              <w:pStyle w:val="TableParagraph"/>
              <w:ind w:left="107" w:right="94"/>
              <w:rPr>
                <w:rFonts w:cs="Calibri"/>
                <w:color w:val="000000"/>
              </w:rPr>
            </w:pPr>
            <w:r w:rsidRPr="00957B06">
              <w:rPr>
                <w:rFonts w:cs="Calibri"/>
                <w:color w:val="000000"/>
              </w:rPr>
              <w:t xml:space="preserve">Oczekiwany </w:t>
            </w:r>
            <w:r w:rsidR="00D912D4" w:rsidRPr="00957B06">
              <w:rPr>
                <w:rFonts w:cs="Calibri"/>
                <w:color w:val="000000"/>
              </w:rPr>
              <w:t xml:space="preserve">wpływ </w:t>
            </w:r>
            <w:r w:rsidR="000F1D33" w:rsidRPr="00957B06">
              <w:rPr>
                <w:rFonts w:cs="Calibri"/>
                <w:color w:val="000000"/>
              </w:rPr>
              <w:t xml:space="preserve">środków </w:t>
            </w:r>
            <w:r w:rsidR="00D912D4" w:rsidRPr="00957B06">
              <w:rPr>
                <w:rFonts w:cs="Calibri"/>
                <w:color w:val="000000"/>
              </w:rPr>
              <w:t>do budżetu państwa z instrumentu jakim jest grzywna</w:t>
            </w:r>
            <w:r w:rsidR="000F1D33" w:rsidRPr="00957B06">
              <w:rPr>
                <w:rFonts w:cs="Calibri"/>
                <w:color w:val="000000"/>
              </w:rPr>
              <w:t xml:space="preserve"> w celu przymuszenia, </w:t>
            </w:r>
            <w:r w:rsidR="00D912D4" w:rsidRPr="00957B06">
              <w:rPr>
                <w:rFonts w:cs="Calibri"/>
                <w:color w:val="000000"/>
              </w:rPr>
              <w:t xml:space="preserve"> nakładana </w:t>
            </w:r>
            <w:r w:rsidR="000F1D33" w:rsidRPr="00957B06">
              <w:rPr>
                <w:rFonts w:cs="Calibri"/>
                <w:color w:val="000000"/>
              </w:rPr>
              <w:t>na podmioty</w:t>
            </w:r>
            <w:r w:rsidR="00FB4EDE" w:rsidRPr="00957B06">
              <w:rPr>
                <w:rFonts w:cs="Calibri"/>
                <w:color w:val="000000"/>
              </w:rPr>
              <w:t>,</w:t>
            </w:r>
            <w:r w:rsidR="000F1D33" w:rsidRPr="00957B06">
              <w:rPr>
                <w:rFonts w:cs="Calibri"/>
                <w:color w:val="000000"/>
              </w:rPr>
              <w:t xml:space="preserve"> które nie realizują celów ustawy - </w:t>
            </w:r>
            <w:r w:rsidR="00D912D4" w:rsidRPr="00957B06">
              <w:rPr>
                <w:rFonts w:cs="Calibri"/>
                <w:color w:val="000000"/>
              </w:rPr>
              <w:t xml:space="preserve"> nie</w:t>
            </w:r>
            <w:r w:rsidR="000F1D33" w:rsidRPr="00957B06">
              <w:rPr>
                <w:rFonts w:cs="Calibri"/>
                <w:color w:val="000000"/>
              </w:rPr>
              <w:t xml:space="preserve"> nastąpił i nie spełnił swojej roli jako jedno ze źródeł finansowania Funduszu Dostępności. </w:t>
            </w:r>
            <w:r w:rsidR="00D912D4" w:rsidRPr="00957B06">
              <w:rPr>
                <w:rFonts w:cs="Calibri"/>
                <w:color w:val="000000"/>
              </w:rPr>
              <w:t xml:space="preserve"> D</w:t>
            </w:r>
            <w:r w:rsidR="000F1D33" w:rsidRPr="00957B06">
              <w:rPr>
                <w:rFonts w:cs="Calibri"/>
                <w:color w:val="000000"/>
              </w:rPr>
              <w:t>o końca 202</w:t>
            </w:r>
            <w:r w:rsidR="00055FD0" w:rsidRPr="00957B06">
              <w:rPr>
                <w:rFonts w:cs="Calibri"/>
                <w:color w:val="000000"/>
              </w:rPr>
              <w:t>5</w:t>
            </w:r>
            <w:r w:rsidR="000F1D33" w:rsidRPr="00957B06">
              <w:rPr>
                <w:rFonts w:cs="Calibri"/>
                <w:color w:val="000000"/>
              </w:rPr>
              <w:t>r.</w:t>
            </w:r>
            <w:r w:rsidR="00D912D4" w:rsidRPr="00957B06">
              <w:rPr>
                <w:rFonts w:cs="Calibri"/>
                <w:color w:val="000000"/>
              </w:rPr>
              <w:t xml:space="preserve"> </w:t>
            </w:r>
            <w:r w:rsidR="000F1D33" w:rsidRPr="00957B06">
              <w:rPr>
                <w:rFonts w:cs="Calibri"/>
                <w:color w:val="000000"/>
              </w:rPr>
              <w:t>nałożono</w:t>
            </w:r>
            <w:r w:rsidR="00D912D4" w:rsidRPr="00957B06">
              <w:rPr>
                <w:rFonts w:cs="Calibri"/>
                <w:color w:val="000000"/>
              </w:rPr>
              <w:t xml:space="preserve"> </w:t>
            </w:r>
            <w:r w:rsidR="0010239F" w:rsidRPr="00957B06">
              <w:rPr>
                <w:rFonts w:cs="Calibri"/>
                <w:color w:val="000000"/>
              </w:rPr>
              <w:t xml:space="preserve">tylko </w:t>
            </w:r>
            <w:r w:rsidR="00055FD0" w:rsidRPr="00957B06">
              <w:rPr>
                <w:rFonts w:cs="Calibri"/>
                <w:color w:val="000000"/>
              </w:rPr>
              <w:t>3</w:t>
            </w:r>
            <w:r w:rsidR="00D912D4" w:rsidRPr="00957B06">
              <w:rPr>
                <w:rFonts w:cs="Calibri"/>
                <w:color w:val="000000"/>
              </w:rPr>
              <w:t xml:space="preserve"> grzywny </w:t>
            </w:r>
            <w:r w:rsidR="000F1D33" w:rsidRPr="00957B06">
              <w:rPr>
                <w:rFonts w:cs="Calibri"/>
                <w:color w:val="000000"/>
              </w:rPr>
              <w:t>na</w:t>
            </w:r>
            <w:r w:rsidR="00D912D4" w:rsidRPr="00957B06">
              <w:rPr>
                <w:rFonts w:cs="Calibri"/>
                <w:color w:val="000000"/>
              </w:rPr>
              <w:t xml:space="preserve"> podmiot</w:t>
            </w:r>
            <w:r w:rsidR="000F1D33" w:rsidRPr="00957B06">
              <w:rPr>
                <w:rFonts w:cs="Calibri"/>
                <w:color w:val="000000"/>
              </w:rPr>
              <w:t>y</w:t>
            </w:r>
            <w:r w:rsidR="00D912D4" w:rsidRPr="00957B06">
              <w:rPr>
                <w:rFonts w:cs="Calibri"/>
                <w:color w:val="000000"/>
              </w:rPr>
              <w:t xml:space="preserve"> publiczn</w:t>
            </w:r>
            <w:r w:rsidR="000F1D33" w:rsidRPr="00957B06">
              <w:rPr>
                <w:rFonts w:cs="Calibri"/>
                <w:color w:val="000000"/>
              </w:rPr>
              <w:t>e</w:t>
            </w:r>
            <w:r w:rsidR="00D912D4" w:rsidRPr="00957B06">
              <w:rPr>
                <w:rFonts w:cs="Calibri"/>
                <w:color w:val="000000"/>
              </w:rPr>
              <w:t>, które nie wykonały nakazu zapewnienia dostępności. Wartość naliczonych grzywien</w:t>
            </w:r>
            <w:r w:rsidR="000F1D33" w:rsidRPr="00957B06">
              <w:rPr>
                <w:rFonts w:cs="Calibri"/>
                <w:color w:val="000000"/>
              </w:rPr>
              <w:t xml:space="preserve"> to</w:t>
            </w:r>
            <w:r w:rsidR="00D912D4" w:rsidRPr="00957B06">
              <w:rPr>
                <w:rFonts w:cs="Calibri"/>
                <w:color w:val="000000"/>
              </w:rPr>
              <w:t xml:space="preserve"> </w:t>
            </w:r>
            <w:r w:rsidR="008129C2" w:rsidRPr="00957B06">
              <w:rPr>
                <w:rFonts w:cs="Calibri"/>
                <w:color w:val="000000"/>
              </w:rPr>
              <w:t>35 000 zł, z tym</w:t>
            </w:r>
            <w:r w:rsidR="000F1D33" w:rsidRPr="00957B06">
              <w:rPr>
                <w:rFonts w:cs="Calibri"/>
                <w:color w:val="000000"/>
              </w:rPr>
              <w:t xml:space="preserve"> </w:t>
            </w:r>
            <w:r w:rsidR="008129C2" w:rsidRPr="00957B06">
              <w:rPr>
                <w:rFonts w:cs="Calibri"/>
                <w:color w:val="000000"/>
              </w:rPr>
              <w:t xml:space="preserve">że w przypadku jednego podmiotu grzywnę umorzono w związku z ostatecznym wykonaniem decyzji przez podmiot, na który została złożona skarga. </w:t>
            </w:r>
          </w:p>
          <w:p w14:paraId="3C8F9D95" w14:textId="0ED3AF6C" w:rsidR="000F1D33" w:rsidRPr="00957B06" w:rsidRDefault="000F1D33" w:rsidP="00E60931">
            <w:pPr>
              <w:pStyle w:val="TableParagraph"/>
              <w:ind w:left="107" w:right="94"/>
              <w:rPr>
                <w:rFonts w:cs="Calibri"/>
                <w:color w:val="000000"/>
              </w:rPr>
            </w:pPr>
            <w:r w:rsidRPr="00957B06">
              <w:rPr>
                <w:rFonts w:cs="Calibri"/>
                <w:color w:val="000000"/>
              </w:rPr>
              <w:t>Zarówno niska liczba składanych przez obywateli skarg jak i długotrwałość i skomplikowanie procesu skargowego powodują, że można liczyć na ten instrument jako źródło dochodów dla F</w:t>
            </w:r>
            <w:r w:rsidR="006809E6" w:rsidRPr="00957B06">
              <w:rPr>
                <w:rFonts w:cs="Calibri"/>
                <w:color w:val="000000"/>
              </w:rPr>
              <w:t xml:space="preserve">unduszu </w:t>
            </w:r>
            <w:r w:rsidRPr="00957B06">
              <w:rPr>
                <w:rFonts w:cs="Calibri"/>
                <w:color w:val="000000"/>
              </w:rPr>
              <w:t>D</w:t>
            </w:r>
            <w:r w:rsidR="006809E6" w:rsidRPr="00957B06">
              <w:rPr>
                <w:rFonts w:cs="Calibri"/>
                <w:color w:val="000000"/>
              </w:rPr>
              <w:t>ostępności</w:t>
            </w:r>
            <w:r w:rsidRPr="00957B06">
              <w:rPr>
                <w:rFonts w:cs="Calibri"/>
                <w:color w:val="000000"/>
              </w:rPr>
              <w:t xml:space="preserve">. </w:t>
            </w:r>
          </w:p>
          <w:p w14:paraId="0C7348B9" w14:textId="1BD21D0E" w:rsidR="0010239F" w:rsidRPr="00957B06" w:rsidRDefault="0079742A" w:rsidP="00E60931">
            <w:pPr>
              <w:pStyle w:val="Tekstkomentarza"/>
              <w:rPr>
                <w:rFonts w:cs="Calibri"/>
                <w:color w:val="000000"/>
                <w:sz w:val="22"/>
                <w:szCs w:val="22"/>
              </w:rPr>
            </w:pPr>
            <w:r w:rsidRPr="00957B06">
              <w:rPr>
                <w:rFonts w:cs="Calibri"/>
                <w:color w:val="000000"/>
                <w:sz w:val="22"/>
                <w:szCs w:val="22"/>
              </w:rPr>
              <w:t>Niewielka liczba składanych skarg nie odpowiada skali rzeczywistych barier w dostępności</w:t>
            </w:r>
            <w:r w:rsidR="0010239F" w:rsidRPr="00957B06">
              <w:rPr>
                <w:rFonts w:cs="Calibri"/>
                <w:color w:val="000000"/>
                <w:sz w:val="22"/>
                <w:szCs w:val="22"/>
              </w:rPr>
              <w:t xml:space="preserve"> w zakresie dostępności, jest m.in. pochodną małej wiedzy wśród osób ze  szczególnymi potrzebami o tym jak działa mechanizm skargowy i jakie przesłanki muszą być spełnione aby złożona skarga mogła być uznana za zasadną i podlegać rozpatrzeniu. Niewielka liczba podmiotów publicznych deklaruje że otrzymała wnioski  o zapewnienie dostępności (etap niezbędny przed złożeniem skargi) - raport sporządzony w 2025 w oparciu  o  art.  11 UZD wskazuje że tylko  0,65%   z  ponad 60  tys. raportujących  podmiotów otrzymało w sumie 1 621 wniosków o zapewnienie dostępności architektonicznej i/lub informacyjno-komunikacyjnej.  Ponadto, szereg skarg nie jest rozpatrywanych ze względu na nie spełnienie wymogów formalnych. Po drugie, nawet jeśli skarga jest zasadna i podlega rozpatrzeniu, rozstrzygnięcie sporu następuje w toku postępowania, podmioty publiczne wprowadzają oczekiwane dostosowania, w związku z czym w większości przypadków nie dochodzi do etapu nakładania grzywien na podmioty publiczne. Nawet jeśli zasądzona zostaje grzywna, ma ona na celu przymuszenia do wprowadzenia zmian. Opłacona grzywna podlega więc zwrotowi w chwili wprowadzenia </w:t>
            </w:r>
            <w:r w:rsidR="0010239F" w:rsidRPr="00957B06">
              <w:rPr>
                <w:rFonts w:cs="Calibri"/>
                <w:color w:val="000000"/>
                <w:sz w:val="22"/>
                <w:szCs w:val="22"/>
              </w:rPr>
              <w:lastRenderedPageBreak/>
              <w:t xml:space="preserve">oczekiwanych rozwiązań z zakresu dostępności przez podmiot, wobec którego została zasądzona. W związku z powyższym tak zaprojektowane rozwiązanie nie wpływa trwale na zwiększenie środków Funduszu Dostępności. Dodatkowo, trzeba także wskazać ze  przepis art. 34 ust. 2 UZD wskazujący jako organ egzekucyjny naczelnika urzędu skarbowego właściwy miejscowo ze względu na siedzibę podmiotu, w stosunku do którego został wydany nakaz, został błędnie skonstruowany względem art. 20 par. 1 i 3 ustawy z dnia 17 czerwca 1966 r. Postępowanie egzekucyjne w administracji , gdzie jako organ właściwy w przypadku decyzji z zakresu administracji rządowej jest wojewoda. </w:t>
            </w:r>
          </w:p>
          <w:p w14:paraId="3DB98BFE" w14:textId="77777777" w:rsidR="0010239F" w:rsidRPr="00957B06" w:rsidRDefault="0010239F" w:rsidP="00E60931">
            <w:pPr>
              <w:pStyle w:val="TableParagraph"/>
              <w:ind w:left="107" w:right="94"/>
              <w:rPr>
                <w:rFonts w:cs="Calibri"/>
                <w:color w:val="000000"/>
              </w:rPr>
            </w:pPr>
            <w:r w:rsidRPr="00957B06">
              <w:rPr>
                <w:rFonts w:cs="Calibri"/>
                <w:color w:val="000000"/>
              </w:rPr>
              <w:t xml:space="preserve"> </w:t>
            </w:r>
          </w:p>
          <w:p w14:paraId="1E6C5A74" w14:textId="292EDC2A" w:rsidR="0010239F" w:rsidRPr="00957B06" w:rsidRDefault="0010239F" w:rsidP="00E60931">
            <w:pPr>
              <w:pStyle w:val="TableParagraph"/>
              <w:ind w:left="107" w:right="94"/>
              <w:rPr>
                <w:rFonts w:cs="Calibri"/>
                <w:color w:val="000000"/>
              </w:rPr>
            </w:pPr>
            <w:r w:rsidRPr="00957B06">
              <w:rPr>
                <w:rFonts w:cs="Calibri"/>
                <w:color w:val="000000"/>
              </w:rPr>
              <w:t xml:space="preserve">Możliwym sposobem zwiększenia efektywności mechanizmu skargowego mogło by być rozszerzenie kompetencji np. PFRON  , jako instytucji obecnie rozpatrującej skargi,  również o możliwość wszczynania postępowań kontrolnych w związku ze zgłoszeniem braku dostępności podmiotów publicznych przez osoby fizyczne  i nakładania  kar w przypadku potwierdzenia brak spełniania wymagań wynikających z UZD.     </w:t>
            </w:r>
          </w:p>
          <w:p w14:paraId="64EE29CD" w14:textId="77777777" w:rsidR="000F1D33" w:rsidRPr="00957B06" w:rsidRDefault="000F1D33" w:rsidP="00E60931">
            <w:pPr>
              <w:pStyle w:val="TableParagraph"/>
              <w:ind w:left="0" w:right="94"/>
              <w:rPr>
                <w:rFonts w:cs="Calibri"/>
                <w:color w:val="000000"/>
              </w:rPr>
            </w:pPr>
          </w:p>
          <w:p w14:paraId="1DEEBC0A" w14:textId="5FA6C656" w:rsidR="000F1D33" w:rsidRPr="00957B06" w:rsidRDefault="000F1D33" w:rsidP="00E60931">
            <w:pPr>
              <w:pStyle w:val="TableParagraph"/>
              <w:ind w:left="107" w:right="94"/>
              <w:rPr>
                <w:rFonts w:cs="Calibri"/>
                <w:color w:val="000000"/>
              </w:rPr>
            </w:pPr>
            <w:r w:rsidRPr="00957B06">
              <w:rPr>
                <w:rFonts w:cs="Calibri"/>
                <w:color w:val="000000"/>
              </w:rPr>
              <w:t>Należy również zaznaczyć, że sam charakter instrumentu jakim jest grzywna w celu przymuszenia, która może być zwrócona w sytuacji realizacji obowiązku z związku z którym została nałożona – powoduje</w:t>
            </w:r>
            <w:r w:rsidR="00873372" w:rsidRPr="00957B06">
              <w:rPr>
                <w:rFonts w:cs="Calibri"/>
                <w:color w:val="000000"/>
              </w:rPr>
              <w:t>,</w:t>
            </w:r>
            <w:r w:rsidRPr="00957B06">
              <w:rPr>
                <w:rFonts w:cs="Calibri"/>
                <w:color w:val="000000"/>
              </w:rPr>
              <w:t xml:space="preserve"> że nie jest to trwałe źródło dochodów dla Funduszu Dostępności i nie może stanowić żadnej jego istotnej części. </w:t>
            </w:r>
          </w:p>
          <w:p w14:paraId="10624E57" w14:textId="77777777" w:rsidR="000F1D33" w:rsidRPr="00957B06" w:rsidRDefault="000F1D33" w:rsidP="00E60931">
            <w:pPr>
              <w:pStyle w:val="TableParagraph"/>
              <w:ind w:left="107" w:right="94"/>
              <w:rPr>
                <w:rFonts w:cs="Calibri"/>
                <w:color w:val="000000"/>
              </w:rPr>
            </w:pPr>
          </w:p>
          <w:p w14:paraId="1526F152" w14:textId="57E85A9C" w:rsidR="00875C22" w:rsidRPr="00957B06" w:rsidRDefault="00BA27ED" w:rsidP="00E60931">
            <w:pPr>
              <w:pStyle w:val="TableParagraph"/>
              <w:ind w:left="107" w:right="94"/>
              <w:rPr>
                <w:rFonts w:cs="Calibri"/>
                <w:color w:val="000000"/>
              </w:rPr>
            </w:pPr>
            <w:r w:rsidRPr="00957B06">
              <w:rPr>
                <w:rFonts w:cs="Calibri"/>
                <w:color w:val="000000"/>
              </w:rPr>
              <w:t>Ewentualne wpływy do budżetu państw</w:t>
            </w:r>
            <w:r w:rsidR="00B94C52" w:rsidRPr="00957B06">
              <w:rPr>
                <w:rFonts w:cs="Calibri"/>
                <w:color w:val="000000"/>
              </w:rPr>
              <w:t>a,</w:t>
            </w:r>
            <w:r w:rsidRPr="00957B06">
              <w:rPr>
                <w:rFonts w:cs="Calibri"/>
                <w:color w:val="000000"/>
              </w:rPr>
              <w:t xml:space="preserve"> wynikające z przewidywanej poprawy aktywności zawodowej osób z niepełnosprawnościami i dochodów budżetu państwa związanych z odliczeniami podatkowymi i ubezpieczeń społecznych oraz zdrowotnych, są </w:t>
            </w:r>
            <w:r w:rsidR="00C0106C" w:rsidRPr="00957B06">
              <w:rPr>
                <w:rFonts w:cs="Calibri"/>
                <w:color w:val="000000"/>
              </w:rPr>
              <w:t xml:space="preserve">bardzo </w:t>
            </w:r>
            <w:r w:rsidRPr="00957B06">
              <w:rPr>
                <w:rFonts w:cs="Calibri"/>
                <w:color w:val="000000"/>
              </w:rPr>
              <w:t>trudne do oszacowania</w:t>
            </w:r>
            <w:r w:rsidR="00C0106C" w:rsidRPr="00957B06">
              <w:rPr>
                <w:rFonts w:cs="Calibri"/>
                <w:color w:val="000000"/>
              </w:rPr>
              <w:t xml:space="preserve"> m.in. z uwagi na fakt</w:t>
            </w:r>
            <w:r w:rsidR="00B94C52" w:rsidRPr="00957B06">
              <w:rPr>
                <w:rFonts w:cs="Calibri"/>
                <w:color w:val="000000"/>
              </w:rPr>
              <w:t>,</w:t>
            </w:r>
            <w:r w:rsidR="00C0106C" w:rsidRPr="00957B06">
              <w:rPr>
                <w:rFonts w:cs="Calibri"/>
                <w:color w:val="000000"/>
              </w:rPr>
              <w:t xml:space="preserve"> że nie ma bezpośredniej relacji pomiędzy poprawą dostępności a zatrudnialnością </w:t>
            </w:r>
            <w:proofErr w:type="spellStart"/>
            <w:r w:rsidR="00C0106C" w:rsidRPr="00957B06">
              <w:rPr>
                <w:rFonts w:cs="Calibri"/>
                <w:color w:val="000000"/>
              </w:rPr>
              <w:t>OzN</w:t>
            </w:r>
            <w:proofErr w:type="spellEnd"/>
            <w:r w:rsidR="00C0106C" w:rsidRPr="00957B06">
              <w:rPr>
                <w:rFonts w:cs="Calibri"/>
                <w:color w:val="000000"/>
              </w:rPr>
              <w:t xml:space="preserve">. Jest to </w:t>
            </w:r>
            <w:r w:rsidR="00B94C52" w:rsidRPr="00957B06">
              <w:rPr>
                <w:rFonts w:cs="Calibri"/>
                <w:color w:val="000000"/>
              </w:rPr>
              <w:t xml:space="preserve">jedynie </w:t>
            </w:r>
            <w:r w:rsidR="00C0106C" w:rsidRPr="00957B06">
              <w:rPr>
                <w:rFonts w:cs="Calibri"/>
                <w:color w:val="000000"/>
              </w:rPr>
              <w:t xml:space="preserve">efekt pośredni. </w:t>
            </w:r>
          </w:p>
          <w:p w14:paraId="59C2218D" w14:textId="078E1271" w:rsidR="00DC68A6" w:rsidRPr="00957B06" w:rsidRDefault="00DC68A6" w:rsidP="00E60931">
            <w:pPr>
              <w:pStyle w:val="TableParagraph"/>
              <w:ind w:left="0" w:right="94"/>
              <w:rPr>
                <w:rFonts w:cs="Calibri"/>
                <w:color w:val="000000"/>
              </w:rPr>
            </w:pPr>
          </w:p>
          <w:p w14:paraId="5E73792E" w14:textId="0F6F35CC" w:rsidR="00A624B1" w:rsidRPr="00957B06" w:rsidRDefault="00AE6FB8" w:rsidP="00E60931">
            <w:pPr>
              <w:pStyle w:val="TableParagraph"/>
              <w:tabs>
                <w:tab w:val="left" w:pos="522"/>
              </w:tabs>
              <w:ind w:left="0" w:right="96"/>
              <w:rPr>
                <w:rFonts w:cs="Calibri"/>
                <w:color w:val="000000"/>
              </w:rPr>
            </w:pPr>
            <w:r w:rsidRPr="00957B06">
              <w:rPr>
                <w:rFonts w:cs="Calibri"/>
                <w:color w:val="000000"/>
              </w:rPr>
              <w:t xml:space="preserve">- </w:t>
            </w:r>
            <w:r w:rsidR="00EC2057" w:rsidRPr="00957B06">
              <w:rPr>
                <w:rFonts w:cs="Calibri"/>
                <w:color w:val="000000"/>
              </w:rPr>
              <w:t>K</w:t>
            </w:r>
            <w:r w:rsidR="00814DAD" w:rsidRPr="00957B06">
              <w:rPr>
                <w:rFonts w:cs="Calibri"/>
                <w:color w:val="000000"/>
              </w:rPr>
              <w:t>onkurencyjność  gospodarki i przedsiębiorczość, w tym funkcjonowanie przedsiębiorców</w:t>
            </w:r>
            <w:r w:rsidR="00E60931" w:rsidRPr="00957B06">
              <w:rPr>
                <w:rFonts w:cs="Calibri"/>
                <w:color w:val="000000"/>
              </w:rPr>
              <w:t xml:space="preserve">. </w:t>
            </w:r>
            <w:r w:rsidR="00A97D2F" w:rsidRPr="00957B06">
              <w:rPr>
                <w:rFonts w:cs="Calibri"/>
                <w:color w:val="000000"/>
              </w:rPr>
              <w:t xml:space="preserve">Realizacja ustawy wpłynęła pośrednio na sektor przedsiębiorstw. </w:t>
            </w:r>
            <w:r w:rsidR="00C644B2" w:rsidRPr="00957B06">
              <w:rPr>
                <w:rFonts w:cs="Calibri"/>
                <w:color w:val="000000"/>
              </w:rPr>
              <w:t xml:space="preserve">W art. 4 ust 3 </w:t>
            </w:r>
            <w:r w:rsidR="00C644B2" w:rsidRPr="00957B06">
              <w:rPr>
                <w:rFonts w:cs="Calibri"/>
                <w:color w:val="000000"/>
              </w:rPr>
              <w:lastRenderedPageBreak/>
              <w:t xml:space="preserve">Ustawy określono, że obowiązkami dotyczącymi zapewniania dostępności mogą być objęci również przedsiębiorcy gdy ubiegają się o realizację zamówienia publicznego lub zadania publicznego na podstawie umowy. W treści umowy podmiot zlecający </w:t>
            </w:r>
            <w:r w:rsidR="00A624B1" w:rsidRPr="00957B06">
              <w:rPr>
                <w:rFonts w:cs="Calibri"/>
                <w:color w:val="000000"/>
              </w:rPr>
              <w:t>określa</w:t>
            </w:r>
            <w:r w:rsidR="00C644B2" w:rsidRPr="00957B06">
              <w:rPr>
                <w:rFonts w:cs="Calibri"/>
                <w:color w:val="000000"/>
              </w:rPr>
              <w:t xml:space="preserve"> warunki </w:t>
            </w:r>
            <w:r w:rsidR="00A624B1" w:rsidRPr="00957B06">
              <w:rPr>
                <w:rFonts w:cs="Calibri"/>
                <w:color w:val="000000"/>
              </w:rPr>
              <w:t xml:space="preserve">dostępności, które powinna odznaczać się realizacja zadania/zlecenia. </w:t>
            </w:r>
            <w:r w:rsidR="00C644B2" w:rsidRPr="00957B06">
              <w:rPr>
                <w:rFonts w:cs="Calibri"/>
                <w:color w:val="000000"/>
              </w:rPr>
              <w:t xml:space="preserve"> </w:t>
            </w:r>
            <w:r w:rsidR="00A624B1" w:rsidRPr="00957B06">
              <w:rPr>
                <w:rFonts w:cs="Calibri"/>
                <w:color w:val="000000"/>
              </w:rPr>
              <w:t xml:space="preserve">Rynek zamówień publicznych ma wartość blisko 700 mld zł co stanowi ok. 10% polskiego PKB. Wprowadzenie obowiązku spełnienia wymagań dostępności zgodnie z art. 3 ust 4 </w:t>
            </w:r>
            <w:r w:rsidR="00EC2057" w:rsidRPr="00957B06">
              <w:rPr>
                <w:rFonts w:cs="Calibri"/>
                <w:color w:val="000000"/>
              </w:rPr>
              <w:t xml:space="preserve"> mogło </w:t>
            </w:r>
            <w:r w:rsidR="00A624B1" w:rsidRPr="00957B06">
              <w:rPr>
                <w:rFonts w:cs="Calibri"/>
                <w:color w:val="000000"/>
              </w:rPr>
              <w:t>wpłyn</w:t>
            </w:r>
            <w:r w:rsidR="00EC2057" w:rsidRPr="00957B06">
              <w:rPr>
                <w:rFonts w:cs="Calibri"/>
                <w:color w:val="000000"/>
              </w:rPr>
              <w:t xml:space="preserve">ąć </w:t>
            </w:r>
            <w:r w:rsidR="00A624B1" w:rsidRPr="00957B06">
              <w:rPr>
                <w:rFonts w:cs="Calibri"/>
                <w:color w:val="000000"/>
              </w:rPr>
              <w:t>zatem na dość duży odsetek przedsiębiorstw, często dużych, które biorą udział w postępowaniach o powierzenie realizacji zamówienia lub zadania publicznego.</w:t>
            </w:r>
            <w:r w:rsidR="00EC2057" w:rsidRPr="00957B06">
              <w:rPr>
                <w:rFonts w:cs="Calibri"/>
                <w:color w:val="000000"/>
              </w:rPr>
              <w:t xml:space="preserve"> Niemniej  jednak  wyniki przytaczanego badania ewaluacyjnego dotyczącego wdrażania przepisów ustawy wykazały że przepisy art. 4 ust  3 UZD jest w niewielkim stopniu  stosowany, a jeśli do tego do chodzi warunki zapewniania dostępności są formułowane ogólnie i finalnie nie egzekwowane.  </w:t>
            </w:r>
          </w:p>
          <w:p w14:paraId="579AA167" w14:textId="595B52F6" w:rsidR="008B68D4" w:rsidRPr="00957B06" w:rsidRDefault="00A624B1" w:rsidP="00E60931">
            <w:pPr>
              <w:widowControl/>
              <w:autoSpaceDE/>
              <w:autoSpaceDN/>
              <w:spacing w:before="120" w:after="120"/>
              <w:rPr>
                <w:rFonts w:cs="Calibri"/>
                <w:color w:val="000000"/>
              </w:rPr>
            </w:pPr>
            <w:r w:rsidRPr="00957B06">
              <w:rPr>
                <w:rFonts w:cs="Calibri"/>
                <w:color w:val="000000"/>
              </w:rPr>
              <w:t xml:space="preserve">Z drugiej strony </w:t>
            </w:r>
            <w:r w:rsidR="00774C27" w:rsidRPr="00957B06">
              <w:rPr>
                <w:rFonts w:cs="Calibri"/>
                <w:color w:val="000000"/>
              </w:rPr>
              <w:t>w wyniku opisanych wcześniej  działa</w:t>
            </w:r>
            <w:r w:rsidR="00B94C52" w:rsidRPr="00957B06">
              <w:rPr>
                <w:rFonts w:cs="Calibri"/>
                <w:color w:val="000000"/>
              </w:rPr>
              <w:t>ń,</w:t>
            </w:r>
            <w:r w:rsidR="00774C27" w:rsidRPr="00957B06">
              <w:rPr>
                <w:rFonts w:cs="Calibri"/>
                <w:color w:val="000000"/>
              </w:rPr>
              <w:t xml:space="preserve"> skierowany</w:t>
            </w:r>
            <w:r w:rsidR="00B94C52" w:rsidRPr="00957B06">
              <w:rPr>
                <w:rFonts w:cs="Calibri"/>
                <w:color w:val="000000"/>
              </w:rPr>
              <w:t>ch</w:t>
            </w:r>
            <w:r w:rsidR="00774C27" w:rsidRPr="00957B06">
              <w:rPr>
                <w:rFonts w:cs="Calibri"/>
                <w:color w:val="000000"/>
              </w:rPr>
              <w:t xml:space="preserve"> na </w:t>
            </w:r>
            <w:r w:rsidRPr="00957B06">
              <w:rPr>
                <w:rFonts w:cs="Calibri"/>
                <w:color w:val="000000"/>
              </w:rPr>
              <w:t xml:space="preserve"> rozwój innowacji i B+R,</w:t>
            </w:r>
            <w:r w:rsidR="00774C27" w:rsidRPr="00957B06">
              <w:rPr>
                <w:rFonts w:cs="Calibri"/>
                <w:color w:val="000000"/>
              </w:rPr>
              <w:t xml:space="preserve"> </w:t>
            </w:r>
            <w:r w:rsidRPr="00957B06">
              <w:rPr>
                <w:rFonts w:cs="Calibri"/>
                <w:color w:val="000000"/>
              </w:rPr>
              <w:t xml:space="preserve"> zainteresowanie przedsiębiorców rozwojem innowacji produktowych w oparciu o ich cechy dostępności</w:t>
            </w:r>
            <w:r w:rsidR="00774C27" w:rsidRPr="00957B06">
              <w:rPr>
                <w:rFonts w:cs="Calibri"/>
                <w:color w:val="000000"/>
              </w:rPr>
              <w:t xml:space="preserve"> </w:t>
            </w:r>
            <w:r w:rsidR="00B94C52" w:rsidRPr="00957B06">
              <w:rPr>
                <w:rFonts w:cs="Calibri"/>
                <w:color w:val="000000"/>
              </w:rPr>
              <w:t xml:space="preserve">nieznacznie </w:t>
            </w:r>
            <w:r w:rsidR="00774C27" w:rsidRPr="00957B06">
              <w:rPr>
                <w:rFonts w:cs="Calibri"/>
                <w:color w:val="000000"/>
              </w:rPr>
              <w:t xml:space="preserve">wzrosło </w:t>
            </w:r>
            <w:r w:rsidR="00B94C52" w:rsidRPr="00957B06">
              <w:rPr>
                <w:rFonts w:cs="Calibri"/>
                <w:color w:val="000000"/>
              </w:rPr>
              <w:t xml:space="preserve">- </w:t>
            </w:r>
            <w:r w:rsidR="00774C27" w:rsidRPr="00957B06">
              <w:rPr>
                <w:rFonts w:cs="Calibri"/>
                <w:color w:val="000000"/>
              </w:rPr>
              <w:t xml:space="preserve">choć w </w:t>
            </w:r>
            <w:r w:rsidR="0011066D" w:rsidRPr="00957B06">
              <w:rPr>
                <w:rFonts w:cs="Calibri"/>
                <w:color w:val="000000"/>
              </w:rPr>
              <w:t xml:space="preserve">stopniu trudnym do oszacowania (więcej w opisie skutków ekonomicznych).  </w:t>
            </w:r>
          </w:p>
          <w:p w14:paraId="15ADCF74" w14:textId="3F29D73E" w:rsidR="00DC68A6" w:rsidRPr="00957B06" w:rsidRDefault="00B94C52" w:rsidP="00E60931">
            <w:pPr>
              <w:widowControl/>
              <w:autoSpaceDE/>
              <w:autoSpaceDN/>
              <w:spacing w:line="276" w:lineRule="auto"/>
              <w:rPr>
                <w:rFonts w:cs="Calibri"/>
                <w:color w:val="000000"/>
              </w:rPr>
            </w:pPr>
            <w:r w:rsidRPr="00957B06">
              <w:rPr>
                <w:rFonts w:cs="Calibri"/>
                <w:color w:val="000000"/>
              </w:rPr>
              <w:t>W</w:t>
            </w:r>
            <w:r w:rsidR="0011066D" w:rsidRPr="00957B06">
              <w:rPr>
                <w:rFonts w:cs="Calibri"/>
                <w:color w:val="000000"/>
              </w:rPr>
              <w:t xml:space="preserve"> latach 20218 – 2025 r</w:t>
            </w:r>
            <w:r w:rsidR="00DC68A6" w:rsidRPr="00957B06">
              <w:rPr>
                <w:rFonts w:cs="Calibri"/>
                <w:color w:val="000000"/>
              </w:rPr>
              <w:t>ozwija</w:t>
            </w:r>
            <w:r w:rsidR="0011066D" w:rsidRPr="00957B06">
              <w:rPr>
                <w:rFonts w:cs="Calibri"/>
                <w:color w:val="000000"/>
              </w:rPr>
              <w:t xml:space="preserve">na była </w:t>
            </w:r>
            <w:r w:rsidR="00DC68A6" w:rsidRPr="00957B06">
              <w:rPr>
                <w:rFonts w:cs="Calibri"/>
                <w:color w:val="000000"/>
              </w:rPr>
              <w:t>działalność promocyjna na temat dobrych praktyk</w:t>
            </w:r>
            <w:r w:rsidR="0011066D" w:rsidRPr="00957B06">
              <w:rPr>
                <w:rFonts w:cs="Calibri"/>
                <w:color w:val="000000"/>
              </w:rPr>
              <w:t xml:space="preserve"> związanych z rozwiązaniami dla dostępności</w:t>
            </w:r>
            <w:r w:rsidR="00DC68A6" w:rsidRPr="00957B06">
              <w:rPr>
                <w:rFonts w:cs="Calibri"/>
                <w:color w:val="000000"/>
              </w:rPr>
              <w:t xml:space="preserve">. </w:t>
            </w:r>
            <w:r w:rsidRPr="00957B06">
              <w:rPr>
                <w:rFonts w:cs="Calibri"/>
                <w:color w:val="000000"/>
              </w:rPr>
              <w:t>Z</w:t>
            </w:r>
            <w:r w:rsidR="00DC68A6" w:rsidRPr="00957B06">
              <w:rPr>
                <w:rFonts w:cs="Calibri"/>
                <w:color w:val="000000"/>
              </w:rPr>
              <w:t xml:space="preserve">organizowane zostały </w:t>
            </w:r>
            <w:r w:rsidR="008B68D4" w:rsidRPr="00957B06">
              <w:rPr>
                <w:rFonts w:cs="Calibri"/>
                <w:color w:val="000000"/>
              </w:rPr>
              <w:t>4 edycje konkursu "Lider Dostępności priorytetowych branż" na wyłonienie i promocję  produktów opartych na idei projektowania uniwersalnego</w:t>
            </w:r>
            <w:r w:rsidR="00DC68A6" w:rsidRPr="00957B06">
              <w:rPr>
                <w:rFonts w:cs="Calibri"/>
                <w:color w:val="000000"/>
              </w:rPr>
              <w:t>. Rozwijają się również instytucje wspierające biznes we wdrażaniu dostępności w organizacji</w:t>
            </w:r>
            <w:r w:rsidR="0011066D" w:rsidRPr="00957B06">
              <w:rPr>
                <w:rFonts w:cs="Calibri"/>
                <w:color w:val="000000"/>
              </w:rPr>
              <w:t xml:space="preserve"> czyli opisywane wcześniej – </w:t>
            </w:r>
            <w:r w:rsidR="008B68D4" w:rsidRPr="00957B06">
              <w:rPr>
                <w:rFonts w:cs="Calibri"/>
                <w:color w:val="000000"/>
              </w:rPr>
              <w:t>Centra</w:t>
            </w:r>
            <w:r w:rsidR="0011066D" w:rsidRPr="00957B06">
              <w:rPr>
                <w:rFonts w:cs="Calibri"/>
                <w:color w:val="000000"/>
              </w:rPr>
              <w:t xml:space="preserve"> Wiedzy o Dostępności (CWOD).  </w:t>
            </w:r>
            <w:r w:rsidR="008B68D4" w:rsidRPr="00957B06">
              <w:rPr>
                <w:rFonts w:cs="Calibri"/>
                <w:color w:val="000000"/>
              </w:rPr>
              <w:t xml:space="preserve"> </w:t>
            </w:r>
          </w:p>
          <w:p w14:paraId="4422E153" w14:textId="386F8610" w:rsidR="00B94C52" w:rsidRPr="00957B06" w:rsidRDefault="00A624B1" w:rsidP="00E60931">
            <w:pPr>
              <w:pStyle w:val="TableParagraph"/>
              <w:tabs>
                <w:tab w:val="left" w:pos="522"/>
              </w:tabs>
              <w:ind w:right="96"/>
              <w:rPr>
                <w:rFonts w:cs="Calibri"/>
                <w:color w:val="000000"/>
              </w:rPr>
            </w:pPr>
            <w:r w:rsidRPr="00957B06">
              <w:rPr>
                <w:rFonts w:cs="Calibri"/>
                <w:color w:val="000000"/>
              </w:rPr>
              <w:t xml:space="preserve"> </w:t>
            </w:r>
          </w:p>
          <w:p w14:paraId="1FD4C643" w14:textId="0A080F77" w:rsidR="00814DAD" w:rsidRPr="00957B06" w:rsidRDefault="00DF0AC4" w:rsidP="00E60931">
            <w:pPr>
              <w:pStyle w:val="TableParagraph"/>
              <w:numPr>
                <w:ilvl w:val="0"/>
                <w:numId w:val="2"/>
              </w:numPr>
              <w:tabs>
                <w:tab w:val="left" w:pos="522"/>
              </w:tabs>
              <w:ind w:right="96"/>
              <w:rPr>
                <w:rFonts w:cs="Calibri"/>
                <w:color w:val="000000"/>
              </w:rPr>
            </w:pPr>
            <w:r w:rsidRPr="00957B06">
              <w:rPr>
                <w:rFonts w:cs="Calibri"/>
                <w:color w:val="000000"/>
              </w:rPr>
              <w:t xml:space="preserve">- </w:t>
            </w:r>
            <w:r w:rsidR="00814DAD" w:rsidRPr="00957B06">
              <w:rPr>
                <w:rFonts w:cs="Calibri"/>
                <w:color w:val="000000"/>
              </w:rPr>
              <w:t>Rodzina, obywatele oraz gospodarstwa domowe</w:t>
            </w:r>
          </w:p>
          <w:p w14:paraId="21262444" w14:textId="1C17A72B" w:rsidR="00791257" w:rsidRPr="00957B06" w:rsidRDefault="00A72A7B" w:rsidP="00E60931">
            <w:pPr>
              <w:pStyle w:val="TableParagraph"/>
              <w:tabs>
                <w:tab w:val="left" w:pos="522"/>
              </w:tabs>
              <w:ind w:right="96"/>
              <w:rPr>
                <w:rFonts w:cs="Calibri"/>
                <w:color w:val="000000"/>
              </w:rPr>
            </w:pPr>
            <w:r w:rsidRPr="00957B06">
              <w:rPr>
                <w:rFonts w:cs="Calibri"/>
                <w:color w:val="000000"/>
              </w:rPr>
              <w:t xml:space="preserve">Działania podejmowane na rzecz dostępności mają sprzyjać rozwijaniu możliwości samodzielnego funkcjonowania przez osoby z niepełnosprawnościami. Kluczowym przy tym jest kształtowanie rozwiązań i przestrzeni, z której korzystają osoby z niepełnosprawnościami na co dzień. Chodzi np. o kwestie lokalowe, </w:t>
            </w:r>
            <w:r w:rsidRPr="00957B06">
              <w:rPr>
                <w:rFonts w:cs="Calibri"/>
                <w:color w:val="000000"/>
              </w:rPr>
              <w:lastRenderedPageBreak/>
              <w:t xml:space="preserve">dostępność mieszkań i budynków, w których mieszkają osoby z niepełnosprawnościami. </w:t>
            </w:r>
            <w:r w:rsidR="001E5DC8" w:rsidRPr="00957B06">
              <w:rPr>
                <w:rFonts w:cs="Calibri"/>
                <w:color w:val="000000"/>
              </w:rPr>
              <w:t>Szereg pozytywnych zmian zadziało się w tym zakresie. Począwszy od utworzenia, na mocy ustawy, Funduszu Dostępności finansującego modernizacje architektoniczne i rozwiązania związane z dostępnością budynku (np. windy, podjazdy, rampy) po sukcesywnie wprowadzan</w:t>
            </w:r>
            <w:r w:rsidR="00867B92" w:rsidRPr="00957B06">
              <w:rPr>
                <w:rFonts w:cs="Calibri"/>
                <w:color w:val="000000"/>
              </w:rPr>
              <w:t>e</w:t>
            </w:r>
            <w:r w:rsidR="001E5DC8" w:rsidRPr="00957B06">
              <w:rPr>
                <w:rFonts w:cs="Calibri"/>
                <w:color w:val="000000"/>
              </w:rPr>
              <w:t xml:space="preserve"> zmian</w:t>
            </w:r>
            <w:r w:rsidR="00867B92" w:rsidRPr="00957B06">
              <w:rPr>
                <w:rFonts w:cs="Calibri"/>
                <w:color w:val="000000"/>
              </w:rPr>
              <w:t>y</w:t>
            </w:r>
            <w:r w:rsidR="001E5DC8" w:rsidRPr="00957B06">
              <w:rPr>
                <w:rFonts w:cs="Calibri"/>
                <w:color w:val="000000"/>
              </w:rPr>
              <w:t xml:space="preserve"> w przepisach z zakresu praw</w:t>
            </w:r>
            <w:r w:rsidR="001D72A5" w:rsidRPr="00957B06">
              <w:rPr>
                <w:rFonts w:cs="Calibri"/>
                <w:color w:val="000000"/>
              </w:rPr>
              <w:t>a</w:t>
            </w:r>
            <w:r w:rsidR="001E5DC8" w:rsidRPr="00957B06">
              <w:rPr>
                <w:rFonts w:cs="Calibri"/>
                <w:color w:val="000000"/>
              </w:rPr>
              <w:t xml:space="preserve"> budowlanego, na trwa</w:t>
            </w:r>
            <w:r w:rsidR="00867B92" w:rsidRPr="00957B06">
              <w:rPr>
                <w:rFonts w:cs="Calibri"/>
                <w:color w:val="000000"/>
              </w:rPr>
              <w:t>łe wprowadzające rozwiązania projektowania uniwersalnego do</w:t>
            </w:r>
            <w:r w:rsidR="001D72A5" w:rsidRPr="00957B06">
              <w:rPr>
                <w:rFonts w:cs="Calibri"/>
                <w:color w:val="000000"/>
              </w:rPr>
              <w:t xml:space="preserve"> projektowania</w:t>
            </w:r>
            <w:r w:rsidR="00867B92" w:rsidRPr="00957B06">
              <w:rPr>
                <w:rFonts w:cs="Calibri"/>
                <w:color w:val="000000"/>
              </w:rPr>
              <w:t xml:space="preserve"> nowych budynków.</w:t>
            </w:r>
            <w:r w:rsidR="007D39F5" w:rsidRPr="00957B06">
              <w:rPr>
                <w:rFonts w:cs="Calibri"/>
                <w:color w:val="000000"/>
              </w:rPr>
              <w:t xml:space="preserve"> W okresie od uruchomienia przepisów ustawy widocznie wzrosła liczba inicjatyw podejmowanych  np. przez PFRON służących poprawie  dostępności miejsc publiczny (Dost</w:t>
            </w:r>
            <w:r w:rsidR="00017944" w:rsidRPr="00957B06">
              <w:rPr>
                <w:rFonts w:cs="Calibri"/>
                <w:color w:val="000000"/>
              </w:rPr>
              <w:t>ę</w:t>
            </w:r>
            <w:r w:rsidR="007D39F5" w:rsidRPr="00957B06">
              <w:rPr>
                <w:rFonts w:cs="Calibri"/>
                <w:color w:val="000000"/>
              </w:rPr>
              <w:t>pn</w:t>
            </w:r>
            <w:r w:rsidR="00017944" w:rsidRPr="00957B06">
              <w:rPr>
                <w:rFonts w:cs="Calibri"/>
                <w:color w:val="000000"/>
              </w:rPr>
              <w:t>a</w:t>
            </w:r>
            <w:r w:rsidR="007D39F5" w:rsidRPr="00957B06">
              <w:rPr>
                <w:rFonts w:cs="Calibri"/>
                <w:color w:val="000000"/>
              </w:rPr>
              <w:t xml:space="preserve"> Przestrzeń, czy część modułów rządowego pakietu Samodzielność- Aktywność- Mobilność, jak też szeroki pakiet  projektów europejskich wspierających  cele programu rządowego na rzecz poprawy  dostępności skierowanych np. do  JST, szkół, uczelni,  instytucji kultury etc.</w:t>
            </w:r>
            <w:r w:rsidR="00017944" w:rsidRPr="00957B06">
              <w:rPr>
                <w:rFonts w:cs="Calibri"/>
                <w:color w:val="000000"/>
              </w:rPr>
              <w:t xml:space="preserve"> </w:t>
            </w:r>
            <w:r w:rsidR="007D39F5" w:rsidRPr="00957B06">
              <w:rPr>
                <w:rFonts w:cs="Calibri"/>
                <w:color w:val="000000"/>
              </w:rPr>
              <w:t>(więcej o efektach na stronie www:   https</w:t>
            </w:r>
            <w:hyperlink r:id="rId19" w:history="1">
              <w:r w:rsidR="007D39F5" w:rsidRPr="00957B06">
                <w:rPr>
                  <w:rFonts w:cs="Calibri"/>
                  <w:color w:val="000000"/>
                </w:rPr>
                <w:t>://www.funduszeeuropejskie.gov.pl/strony/o-funduszach/fundusze-europejskie-bez-barier/dostepnosc/program/</w:t>
              </w:r>
            </w:hyperlink>
            <w:r w:rsidR="007D39F5" w:rsidRPr="00467BD3">
              <w:rPr>
                <w:rFonts w:cs="Calibri"/>
                <w:color w:val="000000"/>
              </w:rPr>
              <w:t>)</w:t>
            </w:r>
            <w:r w:rsidR="00017944" w:rsidRPr="00957B06">
              <w:rPr>
                <w:rFonts w:cs="Calibri"/>
                <w:color w:val="000000"/>
              </w:rPr>
              <w:t>.</w:t>
            </w:r>
            <w:r w:rsidR="007D39F5" w:rsidRPr="00957B06">
              <w:rPr>
                <w:rFonts w:cs="Calibri"/>
                <w:color w:val="000000"/>
              </w:rPr>
              <w:t xml:space="preserve"> </w:t>
            </w:r>
          </w:p>
          <w:p w14:paraId="2D460D97" w14:textId="4F49F82E" w:rsidR="00791257" w:rsidRPr="00957B06" w:rsidRDefault="00791257" w:rsidP="00E60931">
            <w:pPr>
              <w:spacing w:after="120"/>
              <w:rPr>
                <w:rFonts w:cs="Calibri"/>
                <w:color w:val="000000"/>
              </w:rPr>
            </w:pPr>
            <w:r w:rsidRPr="00957B06">
              <w:rPr>
                <w:rFonts w:cs="Calibri"/>
                <w:color w:val="000000"/>
              </w:rPr>
              <w:t xml:space="preserve"> </w:t>
            </w:r>
          </w:p>
          <w:p w14:paraId="6C5AE96C" w14:textId="25458318" w:rsidR="00814DAD" w:rsidRPr="00957B06" w:rsidRDefault="00DF0AC4" w:rsidP="00E60931">
            <w:pPr>
              <w:pStyle w:val="TableParagraph"/>
              <w:numPr>
                <w:ilvl w:val="0"/>
                <w:numId w:val="2"/>
              </w:numPr>
              <w:tabs>
                <w:tab w:val="left" w:pos="236"/>
              </w:tabs>
              <w:rPr>
                <w:rFonts w:cs="Calibri"/>
                <w:color w:val="000000"/>
              </w:rPr>
            </w:pPr>
            <w:r w:rsidRPr="00957B06">
              <w:rPr>
                <w:rFonts w:cs="Calibri"/>
                <w:color w:val="000000"/>
              </w:rPr>
              <w:t xml:space="preserve">- </w:t>
            </w:r>
            <w:r w:rsidR="00814DAD" w:rsidRPr="00957B06">
              <w:rPr>
                <w:rFonts w:cs="Calibri"/>
                <w:color w:val="000000"/>
              </w:rPr>
              <w:t>Rynek pracy</w:t>
            </w:r>
          </w:p>
          <w:p w14:paraId="5321458F" w14:textId="6AE9E0FD" w:rsidR="008F276B" w:rsidRPr="00957B06" w:rsidRDefault="00C954EF" w:rsidP="00E60931">
            <w:pPr>
              <w:pStyle w:val="TableParagraph"/>
              <w:ind w:right="101"/>
              <w:rPr>
                <w:rFonts w:cs="Calibri"/>
                <w:color w:val="000000"/>
              </w:rPr>
            </w:pPr>
            <w:r w:rsidRPr="00957B06">
              <w:rPr>
                <w:rFonts w:cs="Calibri"/>
                <w:color w:val="000000"/>
              </w:rPr>
              <w:t>Przyjęcie i realizacja ustawy nie miały bezpośredniego wpływu na poprawę zatrudnienia osób z niepełnosprawnościami.</w:t>
            </w:r>
            <w:r w:rsidR="00D635EC" w:rsidRPr="00957B06">
              <w:rPr>
                <w:rFonts w:cs="Calibri"/>
                <w:color w:val="000000"/>
              </w:rPr>
              <w:t xml:space="preserve"> </w:t>
            </w:r>
            <w:r w:rsidR="0054124A" w:rsidRPr="00957B06">
              <w:rPr>
                <w:rFonts w:cs="Calibri"/>
                <w:color w:val="000000"/>
              </w:rPr>
              <w:t>Zmiana parametrów dotyczących zatrudnienia i stopy bezrobocia osób z niepełnosprawnościami na przestrzeni lat od kiedy ustawa weszła w życie opisano na str. 7.</w:t>
            </w:r>
            <w:r w:rsidR="00D635EC" w:rsidRPr="00957B06">
              <w:rPr>
                <w:rFonts w:cs="Calibri"/>
                <w:color w:val="000000"/>
              </w:rPr>
              <w:t xml:space="preserve"> Pomimo spadku stopy bezrobocia na przestrzeni lat wdrażania ustawy, dane te nie są zadowalające. Należy przyjąć, że od strony podażowej zlikwidowano</w:t>
            </w:r>
            <w:r w:rsidR="00B94C52" w:rsidRPr="00957B06">
              <w:rPr>
                <w:rFonts w:cs="Calibri"/>
                <w:color w:val="000000"/>
              </w:rPr>
              <w:t xml:space="preserve"> tylko</w:t>
            </w:r>
            <w:r w:rsidR="00D635EC" w:rsidRPr="00957B06">
              <w:rPr>
                <w:rFonts w:cs="Calibri"/>
                <w:color w:val="000000"/>
              </w:rPr>
              <w:t xml:space="preserve"> </w:t>
            </w:r>
            <w:r w:rsidR="00B94C52" w:rsidRPr="00957B06">
              <w:rPr>
                <w:rFonts w:cs="Calibri"/>
                <w:color w:val="000000"/>
              </w:rPr>
              <w:t xml:space="preserve">niektóre z </w:t>
            </w:r>
            <w:r w:rsidR="00D635EC" w:rsidRPr="00957B06">
              <w:rPr>
                <w:rFonts w:cs="Calibri"/>
                <w:color w:val="000000"/>
              </w:rPr>
              <w:t xml:space="preserve"> barier w dostępie do rynku </w:t>
            </w:r>
            <w:r w:rsidR="00B94C52" w:rsidRPr="00957B06">
              <w:rPr>
                <w:rFonts w:cs="Calibri"/>
                <w:color w:val="000000"/>
              </w:rPr>
              <w:t xml:space="preserve">pracy i w tym przypadku przepisy przedmiotowej ustawy nie miały bezpośredniego oddziaływania. </w:t>
            </w:r>
            <w:r w:rsidR="00D635EC" w:rsidRPr="00957B06">
              <w:rPr>
                <w:rFonts w:cs="Calibri"/>
                <w:color w:val="000000"/>
              </w:rPr>
              <w:t xml:space="preserve"> </w:t>
            </w:r>
          </w:p>
          <w:p w14:paraId="3E765125" w14:textId="77777777" w:rsidR="008F276B" w:rsidRPr="00957B06" w:rsidRDefault="008F276B" w:rsidP="00E60931">
            <w:pPr>
              <w:spacing w:after="120"/>
              <w:rPr>
                <w:rFonts w:cs="Calibri"/>
                <w:color w:val="000000"/>
              </w:rPr>
            </w:pPr>
          </w:p>
          <w:p w14:paraId="11D537EF" w14:textId="5C13DC3F" w:rsidR="00C954EF" w:rsidRPr="00957B06" w:rsidRDefault="00C954EF" w:rsidP="00E60931">
            <w:pPr>
              <w:pStyle w:val="TableParagraph"/>
              <w:ind w:left="0" w:right="101"/>
              <w:rPr>
                <w:rFonts w:cs="Calibri"/>
                <w:color w:val="000000"/>
              </w:rPr>
            </w:pPr>
            <w:r w:rsidRPr="00957B06">
              <w:rPr>
                <w:rFonts w:cs="Calibri"/>
                <w:color w:val="000000"/>
              </w:rPr>
              <w:t xml:space="preserve"> </w:t>
            </w:r>
          </w:p>
          <w:p w14:paraId="76C2EE0E" w14:textId="77777777" w:rsidR="00C954EF" w:rsidRPr="00957B06" w:rsidRDefault="00C954EF" w:rsidP="00E60931">
            <w:pPr>
              <w:pStyle w:val="TableParagraph"/>
              <w:numPr>
                <w:ilvl w:val="0"/>
                <w:numId w:val="2"/>
              </w:numPr>
              <w:tabs>
                <w:tab w:val="left" w:pos="236"/>
              </w:tabs>
              <w:rPr>
                <w:rFonts w:cs="Calibri"/>
                <w:color w:val="000000"/>
              </w:rPr>
            </w:pPr>
          </w:p>
          <w:p w14:paraId="30C40E07" w14:textId="77777777" w:rsidR="00814DAD" w:rsidRPr="00957B06" w:rsidRDefault="00814DAD" w:rsidP="00E60931">
            <w:pPr>
              <w:pStyle w:val="TableParagraph"/>
              <w:numPr>
                <w:ilvl w:val="0"/>
                <w:numId w:val="2"/>
              </w:numPr>
              <w:tabs>
                <w:tab w:val="left" w:pos="522"/>
              </w:tabs>
              <w:ind w:right="96"/>
              <w:rPr>
                <w:rFonts w:cs="Calibri"/>
                <w:color w:val="000000"/>
              </w:rPr>
            </w:pPr>
          </w:p>
          <w:p w14:paraId="128DC5C8" w14:textId="77777777" w:rsidR="00814DAD" w:rsidRPr="00957B06" w:rsidRDefault="00814DAD" w:rsidP="00E60931">
            <w:pPr>
              <w:pStyle w:val="TableParagraph"/>
              <w:ind w:left="107" w:right="94"/>
              <w:rPr>
                <w:rFonts w:cs="Calibri"/>
                <w:color w:val="000000"/>
              </w:rPr>
            </w:pPr>
          </w:p>
          <w:p w14:paraId="2DC99594" w14:textId="77777777" w:rsidR="00814DAD" w:rsidRPr="00957B06" w:rsidRDefault="00814DAD" w:rsidP="00E60931">
            <w:pPr>
              <w:pStyle w:val="TableParagraph"/>
              <w:ind w:left="107" w:right="94"/>
              <w:rPr>
                <w:rFonts w:cs="Calibri"/>
                <w:color w:val="000000"/>
              </w:rPr>
            </w:pPr>
          </w:p>
          <w:p w14:paraId="63E82855" w14:textId="769092CB" w:rsidR="009C15F8" w:rsidRPr="00957B06" w:rsidRDefault="009C15F8" w:rsidP="00E60931">
            <w:pPr>
              <w:pStyle w:val="TableParagraph"/>
              <w:spacing w:line="250" w:lineRule="atLeast"/>
              <w:ind w:left="107" w:right="95"/>
              <w:rPr>
                <w:rFonts w:cs="Calibri"/>
                <w:color w:val="000000"/>
              </w:rPr>
            </w:pPr>
          </w:p>
        </w:tc>
      </w:tr>
    </w:tbl>
    <w:p w14:paraId="3012D130" w14:textId="692AEE97" w:rsidR="00C54C9F" w:rsidRPr="00957B06" w:rsidRDefault="00C54C9F" w:rsidP="00C54C9F">
      <w:pPr>
        <w:tabs>
          <w:tab w:val="left" w:pos="1815"/>
        </w:tabs>
      </w:pPr>
    </w:p>
    <w:p w14:paraId="4FE2F6BA" w14:textId="5CEFFBB9" w:rsidR="00C54C9F" w:rsidRPr="00957B06" w:rsidRDefault="00C54C9F" w:rsidP="00C54C9F">
      <w:pPr>
        <w:tabs>
          <w:tab w:val="left" w:pos="1815"/>
        </w:tabs>
        <w:sectPr w:rsidR="00C54C9F" w:rsidRPr="00957B06">
          <w:pgSz w:w="11910" w:h="16840"/>
          <w:pgMar w:top="520" w:right="300" w:bottom="280" w:left="320" w:header="708" w:footer="708" w:gutter="0"/>
          <w:cols w:space="708"/>
        </w:sectPr>
      </w:pPr>
      <w:r w:rsidRPr="00957B06">
        <w:tab/>
      </w:r>
    </w:p>
    <w:p w14:paraId="5120129D" w14:textId="77777777" w:rsidR="009C15F8" w:rsidRPr="00957B06" w:rsidRDefault="009C15F8">
      <w:pPr>
        <w:pStyle w:val="Tekstpodstawowy"/>
        <w:spacing w:before="7"/>
        <w:rPr>
          <w:sz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441"/>
        <w:gridCol w:w="2245"/>
        <w:gridCol w:w="3689"/>
      </w:tblGrid>
      <w:tr w:rsidR="009C15F8" w:rsidRPr="00957B06" w14:paraId="4123B850" w14:textId="77777777">
        <w:trPr>
          <w:trHeight w:val="758"/>
        </w:trPr>
        <w:tc>
          <w:tcPr>
            <w:tcW w:w="3682" w:type="dxa"/>
            <w:shd w:val="clear" w:color="auto" w:fill="D9D9D9"/>
          </w:tcPr>
          <w:p w14:paraId="58E3ABA8" w14:textId="77777777" w:rsidR="009C15F8" w:rsidRPr="00957B06" w:rsidRDefault="009C15F8">
            <w:pPr>
              <w:pStyle w:val="TableParagraph"/>
              <w:ind w:left="0"/>
            </w:pPr>
          </w:p>
        </w:tc>
        <w:tc>
          <w:tcPr>
            <w:tcW w:w="3686" w:type="dxa"/>
            <w:gridSpan w:val="2"/>
            <w:shd w:val="clear" w:color="auto" w:fill="53A824"/>
          </w:tcPr>
          <w:p w14:paraId="313D3A54" w14:textId="77777777" w:rsidR="009C15F8" w:rsidRPr="00957B06" w:rsidRDefault="00E06656">
            <w:pPr>
              <w:pStyle w:val="TableParagraph"/>
              <w:ind w:left="242" w:firstLine="610"/>
            </w:pPr>
            <w:r w:rsidRPr="00957B06">
              <w:t>4.3 Koszty związane z funkcjonowaniem</w:t>
            </w:r>
            <w:r w:rsidRPr="00957B06">
              <w:rPr>
                <w:spacing w:val="-14"/>
              </w:rPr>
              <w:t xml:space="preserve"> </w:t>
            </w:r>
            <w:r w:rsidRPr="00957B06">
              <w:t>ustawy</w:t>
            </w:r>
            <w:r w:rsidRPr="00957B06">
              <w:rPr>
                <w:spacing w:val="-14"/>
              </w:rPr>
              <w:t xml:space="preserve"> </w:t>
            </w:r>
            <w:r w:rsidRPr="00957B06">
              <w:t>zakładane</w:t>
            </w:r>
          </w:p>
          <w:p w14:paraId="14F36A61" w14:textId="77777777" w:rsidR="009C15F8" w:rsidRPr="00957B06" w:rsidRDefault="00E06656">
            <w:pPr>
              <w:pStyle w:val="TableParagraph"/>
              <w:spacing w:line="233" w:lineRule="exact"/>
              <w:ind w:left="651"/>
            </w:pPr>
            <w:r w:rsidRPr="00957B06">
              <w:t>przed</w:t>
            </w:r>
            <w:r w:rsidRPr="00957B06">
              <w:rPr>
                <w:spacing w:val="-3"/>
              </w:rPr>
              <w:t xml:space="preserve"> </w:t>
            </w:r>
            <w:r w:rsidRPr="00957B06">
              <w:t>jej</w:t>
            </w:r>
            <w:r w:rsidRPr="00957B06">
              <w:rPr>
                <w:spacing w:val="-2"/>
              </w:rPr>
              <w:t xml:space="preserve"> </w:t>
            </w:r>
            <w:r w:rsidRPr="00957B06">
              <w:t>wejściem</w:t>
            </w:r>
            <w:r w:rsidRPr="00957B06">
              <w:rPr>
                <w:spacing w:val="-3"/>
              </w:rPr>
              <w:t xml:space="preserve"> </w:t>
            </w:r>
            <w:r w:rsidRPr="00957B06">
              <w:t>w</w:t>
            </w:r>
            <w:r w:rsidRPr="00957B06">
              <w:rPr>
                <w:spacing w:val="-3"/>
              </w:rPr>
              <w:t xml:space="preserve"> </w:t>
            </w:r>
            <w:r w:rsidRPr="00957B06">
              <w:rPr>
                <w:spacing w:val="-2"/>
              </w:rPr>
              <w:t>życie</w:t>
            </w:r>
          </w:p>
        </w:tc>
        <w:tc>
          <w:tcPr>
            <w:tcW w:w="3689" w:type="dxa"/>
            <w:shd w:val="clear" w:color="auto" w:fill="53A824"/>
          </w:tcPr>
          <w:p w14:paraId="5944D81D" w14:textId="77777777" w:rsidR="009C15F8" w:rsidRPr="00957B06" w:rsidRDefault="00E06656">
            <w:pPr>
              <w:pStyle w:val="TableParagraph"/>
              <w:spacing w:before="126"/>
              <w:ind w:left="711" w:hanging="312"/>
            </w:pPr>
            <w:r w:rsidRPr="00957B06">
              <w:t>4.5</w:t>
            </w:r>
            <w:r w:rsidRPr="00957B06">
              <w:rPr>
                <w:spacing w:val="-10"/>
              </w:rPr>
              <w:t xml:space="preserve"> </w:t>
            </w:r>
            <w:r w:rsidRPr="00957B06">
              <w:t>Faktyczne</w:t>
            </w:r>
            <w:r w:rsidRPr="00957B06">
              <w:rPr>
                <w:spacing w:val="-11"/>
              </w:rPr>
              <w:t xml:space="preserve"> </w:t>
            </w:r>
            <w:r w:rsidRPr="00957B06">
              <w:t>koszty</w:t>
            </w:r>
            <w:r w:rsidRPr="00957B06">
              <w:rPr>
                <w:spacing w:val="-10"/>
              </w:rPr>
              <w:t xml:space="preserve"> </w:t>
            </w:r>
            <w:r w:rsidRPr="00957B06">
              <w:t>związane</w:t>
            </w:r>
            <w:r w:rsidRPr="00957B06">
              <w:rPr>
                <w:spacing w:val="-11"/>
              </w:rPr>
              <w:t xml:space="preserve"> </w:t>
            </w:r>
            <w:r w:rsidRPr="00957B06">
              <w:t>z funkcjonowaniem ustawy</w:t>
            </w:r>
          </w:p>
        </w:tc>
      </w:tr>
      <w:tr w:rsidR="009C15F8" w:rsidRPr="00957B06" w14:paraId="5372CB20" w14:textId="77777777">
        <w:trPr>
          <w:trHeight w:val="4300"/>
        </w:trPr>
        <w:tc>
          <w:tcPr>
            <w:tcW w:w="3682" w:type="dxa"/>
          </w:tcPr>
          <w:p w14:paraId="12629E7F" w14:textId="77777777" w:rsidR="009C15F8" w:rsidRPr="00957B06" w:rsidRDefault="009C15F8">
            <w:pPr>
              <w:pStyle w:val="TableParagraph"/>
              <w:ind w:left="0"/>
            </w:pPr>
          </w:p>
        </w:tc>
        <w:tc>
          <w:tcPr>
            <w:tcW w:w="3686" w:type="dxa"/>
            <w:gridSpan w:val="2"/>
          </w:tcPr>
          <w:p w14:paraId="2BF25F28" w14:textId="77777777" w:rsidR="00FC24E4" w:rsidRPr="00957B06" w:rsidRDefault="00FC24E4" w:rsidP="00884B88">
            <w:pPr>
              <w:spacing w:after="120"/>
              <w:rPr>
                <w:rFonts w:cs="Calibri"/>
                <w:color w:val="000000"/>
              </w:rPr>
            </w:pPr>
            <w:r w:rsidRPr="00957B06">
              <w:rPr>
                <w:rFonts w:cs="Calibri"/>
                <w:color w:val="000000"/>
              </w:rPr>
              <w:t>Na potrzeby obliczeń kosztów podziału na poszczególne podsektory (</w:t>
            </w:r>
            <w:proofErr w:type="spellStart"/>
            <w:r w:rsidRPr="00957B06">
              <w:rPr>
                <w:rFonts w:cs="Calibri"/>
                <w:color w:val="000000"/>
              </w:rPr>
              <w:t>sfp</w:t>
            </w:r>
            <w:proofErr w:type="spellEnd"/>
            <w:r w:rsidRPr="00957B06">
              <w:rPr>
                <w:rFonts w:cs="Calibri"/>
                <w:color w:val="000000"/>
              </w:rPr>
              <w:t xml:space="preserve">), dokonano na podstawie procentowego udziału liczby podmiotów z poszczególnych podsektorów w ogólnej liczbie podmiotów. Dane te pochodzą z GUS i są tożsame z danymi wykorzystanymi przy OSR </w:t>
            </w:r>
            <w:r w:rsidRPr="00957B06">
              <w:rPr>
                <w:rFonts w:cs="Calibri"/>
                <w:i/>
                <w:color w:val="000000"/>
              </w:rPr>
              <w:t>ustawy z dnia 4 kwietnia 2019 r. o dostępności cyfrowej stron internetowych i aplikacji mobilnych podmiotów publicznych (Dz. U. 848)</w:t>
            </w:r>
            <w:r w:rsidRPr="00957B06">
              <w:rPr>
                <w:rFonts w:cs="Calibri"/>
                <w:color w:val="000000"/>
              </w:rPr>
              <w:t xml:space="preserve"> ze względu na tożsamość podmiotową zakresu ustawy. Przy podziale wydatków związanych z realizacją ustawy na poszczególne lata, przyjęto założenie, że w pierwszym roku jej obowiązywania, wysokość  zaangażowanych kwot nie będzie znacząca, a faktyczne rozpoczęcie odpowiednich działań (zakupów i procesów inwestycyjnych) będzie miało swoje miejsce w roku kolejnym, z uwagi na cykl inwestycyjny. Ponadto  dłuższe vacatio legis dla przepisów skargowych może, co do zasady, mieć również wpływ na intensyfikację realizowanych nowych obowiązków ustawowych w kolejnych latach. Dlatego założono, że w 2021 i w 2022 roku nastąpi kumulacja wydatków na zapewnienie dostępności oszacowana jako dwukrotność wartości średniorocznej), natomiast w kolejnych latach kwoty te powinny być w miarę stałe i zmniejszać się stopniowo w miarę upływu analizowanego okresu czasu. Ponadto w początkowym okresie obowiązywania ustawy dopuszczalne będzie na szerszą skalę zapewnienie dostępu alternatywnego  (które to rozwiązania co do zasady są bez lub nisko-kosztowe). Natomiast docelowym sposobem zapewniania dostępności powinno być uniwersalne projektowanie i racjonalne usprawnienia, które już generują określone koszty - co spowoduje wzrost wydatków na dostępność w kolejnych latach od wejścia w życie ustawy (głównie w trzecim i czwartym roku).</w:t>
            </w:r>
          </w:p>
          <w:p w14:paraId="0C39432C" w14:textId="77777777" w:rsidR="00FC24E4" w:rsidRPr="00957B06" w:rsidRDefault="00FC24E4" w:rsidP="00884B88">
            <w:pPr>
              <w:spacing w:after="120"/>
              <w:rPr>
                <w:rFonts w:cs="Calibri"/>
                <w:color w:val="000000"/>
              </w:rPr>
            </w:pPr>
            <w:r w:rsidRPr="00957B06">
              <w:rPr>
                <w:rFonts w:cs="Calibri"/>
                <w:color w:val="000000"/>
              </w:rPr>
              <w:t xml:space="preserve">Ustawa nie spowoduje bezpośrednich kosztów dla działalności merytorycznej ZUS i NFZ, poza obowiązkami udostępnienia ich siedzib oraz zastosowaniem obowiązku określonego w art. 4 ust. 3, polegającego na określeniu reguł związanych z dostępnością wydatków ponoszonych ze środków publicznych (odpowiednie zapisy w umowach przekazywania tych środków). </w:t>
            </w:r>
          </w:p>
          <w:p w14:paraId="0BD2A6F6" w14:textId="6A564BAF" w:rsidR="00FC24E4" w:rsidRPr="00957B06" w:rsidRDefault="00FC24E4" w:rsidP="00884B88">
            <w:pPr>
              <w:spacing w:after="120"/>
              <w:rPr>
                <w:rFonts w:cs="Calibri"/>
                <w:color w:val="000000"/>
              </w:rPr>
            </w:pPr>
            <w:r w:rsidRPr="00957B06">
              <w:rPr>
                <w:rFonts w:cs="Calibri"/>
                <w:color w:val="000000"/>
              </w:rPr>
              <w:lastRenderedPageBreak/>
              <w:t xml:space="preserve">Podmioty publiczne zobowiązane ustawą do realizacji minimalnych wymagań w zakresie dostępności mają obowiązek </w:t>
            </w:r>
            <w:r w:rsidRPr="00957B06">
              <w:rPr>
                <w:rFonts w:cs="Calibri"/>
                <w:b/>
                <w:color w:val="000000"/>
              </w:rPr>
              <w:t>zapewnienia dostępności architektonicznej</w:t>
            </w:r>
            <w:r w:rsidRPr="00957B06">
              <w:rPr>
                <w:rFonts w:cs="Calibri"/>
                <w:color w:val="000000"/>
              </w:rPr>
              <w:t xml:space="preserve">. Oznacza to w praktyce zapewnienie wolnych od barier przestrzeni komunikacyjnych pionowych i poziomych (windy, schody, korytarze, ciągi piesze w budynku) dla osób z ograniczoną możliwością poruszania się, a także dla osób z niepełnosprawnością wzroku. Wydatki podmiotów publicznych związane z tym rodzajem dostępności </w:t>
            </w:r>
            <w:r w:rsidR="00405DBC" w:rsidRPr="00957B06">
              <w:rPr>
                <w:rFonts w:cs="Calibri"/>
                <w:color w:val="000000"/>
              </w:rPr>
              <w:t>były</w:t>
            </w:r>
            <w:r w:rsidRPr="00957B06">
              <w:rPr>
                <w:rFonts w:cs="Calibri"/>
                <w:color w:val="000000"/>
              </w:rPr>
              <w:t xml:space="preserve"> trudne do precyzyjnego oszacowania ze względu na brak danych. W dużym stopniu uzależnione </w:t>
            </w:r>
            <w:r w:rsidR="00405DBC" w:rsidRPr="00957B06">
              <w:rPr>
                <w:rFonts w:cs="Calibri"/>
                <w:color w:val="000000"/>
              </w:rPr>
              <w:t>są</w:t>
            </w:r>
            <w:r w:rsidRPr="00957B06">
              <w:rPr>
                <w:rFonts w:cs="Calibri"/>
                <w:color w:val="000000"/>
              </w:rPr>
              <w:t xml:space="preserve"> od rodzaju i charakteru działań poszczególnych instytucji, liczby posiadanych budynków z których korzystają klienci/obywatele, zakresu i intensywności kontaktów z klientami zewnętrznymi, liczby zatrudnionego personelu ze  szczególnymi potrzebami,  a także zakresu niezbędnych dostosowań istniejącej infrastruktury  (na to wpływ będzie miał m.in. np. wielkość i liczba budynków; wiek i przeznaczenie budynków, istniejący poziom ich dostosowania; skala prac możliwych do wykonania w aspekcie technicznym). Należy jednak wyraźnie podkreślić, że ustawa nie nakłada obowiązku uniwersalnego projektowania poprzez np. obligatoryjny montaż windy czy budowę podjazdów ale dopuszcza szereg rozwiązań nisko lub nawet bez kosztowych na zasadzie racjonalnych usprawnień czy tzw. dostępu alternatywnego (np. pomoc innej osoby). </w:t>
            </w:r>
          </w:p>
          <w:p w14:paraId="6B40BF62" w14:textId="2A733169" w:rsidR="00FC24E4" w:rsidRPr="00957B06" w:rsidRDefault="00FC24E4" w:rsidP="00884B88">
            <w:pPr>
              <w:spacing w:after="120"/>
              <w:rPr>
                <w:rFonts w:cs="Calibri"/>
                <w:color w:val="000000"/>
              </w:rPr>
            </w:pPr>
            <w:r w:rsidRPr="00957B06">
              <w:rPr>
                <w:rFonts w:cs="Calibri"/>
                <w:color w:val="000000"/>
              </w:rPr>
              <w:t xml:space="preserve">Dlatego  przyjęto założenie, że w poszczególnych obiektach dla zapewnienia wymaganej ustawą dostępności potrzebny może być znaczny  zakres dostosowań (obejmujący np. instalację dźwigu osobowego lub podnośnika pionowego z szybem samonośnym) lub mały zakres dostosowań (np. montaż lub instalacja pochylni o wysokości do 100 cm.; montaż podnośnika pionowego; korekty wielkości przedsionka; wymiana niektórych drzwi wewnętrznych na szersze).  Koszt małego zakresu dostosowań to ok 30 tys. zł a koszt znacznego zakresu – ok 300 tys. zł. Jednakże na potrzeby obliczeń przyjęto dane  z dostępnych danych organizacji zajmujących się audytami dostępności, a także dotychczasowych doświadczeń urzędów administracji publicznej i oszacowano, że duży zakres dostosowań dotyczy ok. 25% obiektów (16 400 x 300 </w:t>
            </w:r>
            <w:r w:rsidRPr="00957B06">
              <w:rPr>
                <w:rFonts w:cs="Calibri"/>
                <w:color w:val="000000"/>
              </w:rPr>
              <w:lastRenderedPageBreak/>
              <w:t>tys. zł = 4,92 mld zł). Z kolei mały zakres dostosowań obejmie ok. 75% obiektów (49 202 x 30 tys. zł = ok. 1,5 mld zł). Na tej podstawie łączny koszt dostosowań architektonicznych (przy uwzględnieniu dodatkowo 5% kosztów rocznie na utrzymanie nowych elementów) wyniesie ok. 9,32 mld zł. Jednocześnie część wydatków może być także ponoszona w formie niepieniężnej, związanej m.in. z możliwością zapewniania dostępu alternatywnego (np. pomoc ze strony pracownika, reorganizacja lub inny sposób wykonywania dotychczasowych zadań podmiotu publicznego, zmiana lokalizacji świadczenia usług, zmiana siedziby lub lokalu).</w:t>
            </w:r>
          </w:p>
          <w:p w14:paraId="2DFAF9C7" w14:textId="77777777" w:rsidR="00FC24E4" w:rsidRPr="00957B06" w:rsidRDefault="00FC24E4" w:rsidP="00884B88">
            <w:pPr>
              <w:spacing w:after="120"/>
              <w:rPr>
                <w:rFonts w:cs="Calibri"/>
                <w:color w:val="000000"/>
              </w:rPr>
            </w:pPr>
            <w:r w:rsidRPr="00957B06">
              <w:rPr>
                <w:rFonts w:cs="Calibri"/>
                <w:color w:val="000000"/>
              </w:rPr>
              <w:t xml:space="preserve">Podobnie w przypadku </w:t>
            </w:r>
            <w:r w:rsidRPr="00957B06">
              <w:rPr>
                <w:rFonts w:cs="Calibri"/>
                <w:b/>
                <w:color w:val="000000"/>
              </w:rPr>
              <w:t>zapewnienia dostępności informacyjno-komunikacyjnej</w:t>
            </w:r>
            <w:r w:rsidRPr="00957B06">
              <w:rPr>
                <w:rFonts w:cs="Calibri"/>
                <w:color w:val="000000"/>
              </w:rPr>
              <w:t xml:space="preserve">, przyjęte założenia mają charakter szacunkowy, niemniej oparte są na analizie eksperckiej organizacji pozarządowych oraz bieżących cenach rynkowych poszczególnych dostosowań. Należy również podkreślić, że część obowiązków wynika wprost z obowiązującej już </w:t>
            </w:r>
            <w:r w:rsidRPr="00957B06">
              <w:rPr>
                <w:rFonts w:cs="Calibri"/>
                <w:i/>
                <w:color w:val="000000"/>
              </w:rPr>
              <w:t xml:space="preserve">ustawy o języku migowym i innych środkach komunikowania się </w:t>
            </w:r>
            <w:r w:rsidRPr="00957B06">
              <w:rPr>
                <w:rFonts w:cs="Calibri"/>
                <w:color w:val="000000"/>
              </w:rPr>
              <w:t>oraz z</w:t>
            </w:r>
            <w:r w:rsidRPr="00957B06">
              <w:rPr>
                <w:rFonts w:cs="Calibri"/>
                <w:i/>
                <w:color w:val="000000"/>
              </w:rPr>
              <w:t xml:space="preserve"> ustawy o rehabilitacji zawodowej i społecznej oraz zatrudnianiu osób niepełnosprawnych</w:t>
            </w:r>
            <w:r w:rsidRPr="00957B06">
              <w:rPr>
                <w:rFonts w:cs="Calibri"/>
                <w:color w:val="000000"/>
              </w:rPr>
              <w:t xml:space="preserve">.  Przyjęto założenie, że dostosowania powinny dotyczyć osób ze szczególnymi potrzebami w zakresie słuchu (pętla indukcyjna; usługa tłumacza PJM) oraz z niepełnosprawnością wzroku (oznaczenia kontrastowe; oznaczenia dotykowe; </w:t>
            </w:r>
            <w:proofErr w:type="spellStart"/>
            <w:r w:rsidRPr="00957B06">
              <w:rPr>
                <w:rFonts w:cs="Calibri"/>
                <w:color w:val="000000"/>
              </w:rPr>
              <w:t>tyflomapy</w:t>
            </w:r>
            <w:proofErr w:type="spellEnd"/>
            <w:r w:rsidRPr="00957B06">
              <w:rPr>
                <w:rFonts w:cs="Calibri"/>
                <w:color w:val="000000"/>
              </w:rPr>
              <w:t xml:space="preserve">). Średni koszt dostosowania podmiotu w tym zakresie wyniesie ok. 47 tys. zł (na sumę tę składa się koszt pętli indukcyjnej – 2 tys. zł, dostosowanie do potrzeb osób niedowidzących i niewidomych – 20 tys. zł oraz koszt </w:t>
            </w:r>
            <w:proofErr w:type="spellStart"/>
            <w:r w:rsidRPr="00957B06">
              <w:rPr>
                <w:rFonts w:cs="Calibri"/>
                <w:color w:val="000000"/>
              </w:rPr>
              <w:t>wideotłumacza</w:t>
            </w:r>
            <w:proofErr w:type="spellEnd"/>
            <w:r w:rsidRPr="00957B06">
              <w:rPr>
                <w:rFonts w:cs="Calibri"/>
                <w:color w:val="000000"/>
              </w:rPr>
              <w:t xml:space="preserve"> albo tłumacza polskiego języka migowego ad hoc – 27 tys. zł przez 9 lat), co oznacza koszty dla wszystkich podmiotów na poziomie łącznym ok. 3,2 mld zł. </w:t>
            </w:r>
          </w:p>
          <w:p w14:paraId="104D25C8" w14:textId="72AF708E" w:rsidR="00FC24E4" w:rsidRPr="00957B06" w:rsidRDefault="00FC24E4" w:rsidP="00884B88">
            <w:pPr>
              <w:spacing w:after="120"/>
              <w:rPr>
                <w:rFonts w:cs="Calibri"/>
                <w:color w:val="000000"/>
              </w:rPr>
            </w:pPr>
            <w:r w:rsidRPr="00957B06">
              <w:rPr>
                <w:rFonts w:cs="Calibri"/>
                <w:color w:val="000000"/>
              </w:rPr>
              <w:t xml:space="preserve">Jednym z kosztów, które pojawia się na podstawie przepisów niniejszej ustawy jest koszt związany z pracą </w:t>
            </w:r>
            <w:r w:rsidRPr="00957B06">
              <w:rPr>
                <w:rFonts w:cs="Calibri"/>
                <w:b/>
                <w:color w:val="000000"/>
              </w:rPr>
              <w:t>koordynatora ds. dostępności</w:t>
            </w:r>
            <w:r w:rsidRPr="00957B06">
              <w:rPr>
                <w:rFonts w:cs="Calibri"/>
                <w:color w:val="000000"/>
              </w:rPr>
              <w:t xml:space="preserve">, jaki powinien zostać wyznaczony w ramach organów władzy i kontroli oraz w sądach i trybunałach. Łącznie ok. 3,6 tys. podmiotów będzie zobowiązanych do spełnienia tego obowiązku. Obowiązek wyznaczenia koordynatora został określony do spełnienia w terminie do 30 września 2020 r. i co ważne, decyzja o </w:t>
            </w:r>
            <w:r w:rsidRPr="00957B06">
              <w:rPr>
                <w:rFonts w:cs="Calibri"/>
                <w:color w:val="000000"/>
              </w:rPr>
              <w:lastRenderedPageBreak/>
              <w:t>sposobie wypełnienia tego obowiązku zależy od możliwość danego podmiotu. Może być to zarówno osoba zatrudniona na nowoutworzonym stanowisku, jak i wyznaczona jedna lub kilka osób spośród już zatrudnionych (np. zapewnienie dostępności w ramach istniejących obowiązków).  Zakłada się, że w większości przypadków będzie to część kompetencji obecnie zatrudnionego personelu, jednakże w niektórych przypadkach będą to nowe osoby, dedykowane do pełnienia tej funkcji. Na tej podstawie w perspektywie siedmioletniej koszt koordynatorów dostępności wyniesie ok. 273 mln zł.</w:t>
            </w:r>
            <w:r w:rsidR="004A412E" w:rsidRPr="00957B06">
              <w:rPr>
                <w:rFonts w:cs="Calibri"/>
                <w:color w:val="000000"/>
              </w:rPr>
              <w:t xml:space="preserve"> </w:t>
            </w:r>
            <w:r w:rsidRPr="00957B06">
              <w:rPr>
                <w:rFonts w:cs="Calibri"/>
                <w:color w:val="000000"/>
              </w:rPr>
              <w:t>Szacunki te wynikają z następującego założenia: 3 614 podmioty zobowiązane poniosą wydatki na wynagrodzenie koordynatorów, mediana wynagrodzenia w administracji publicznej w 2017 roku wyniosła 4 156  PLN (kwota brutto wraz z pochodnymi), przyjęto że 1/5 etatu zostanie poświęcona na dostępność = 831 zł x 13 m-</w:t>
            </w:r>
            <w:proofErr w:type="spellStart"/>
            <w:r w:rsidRPr="00957B06">
              <w:rPr>
                <w:rFonts w:cs="Calibri"/>
                <w:color w:val="000000"/>
              </w:rPr>
              <w:t>cy</w:t>
            </w:r>
            <w:proofErr w:type="spellEnd"/>
            <w:r w:rsidRPr="00957B06">
              <w:rPr>
                <w:rFonts w:cs="Calibri"/>
                <w:color w:val="000000"/>
              </w:rPr>
              <w:t xml:space="preserve"> (łącznie z wynagrodzeniem rocznym) x 7 lat). </w:t>
            </w:r>
          </w:p>
          <w:p w14:paraId="7AAF1F00" w14:textId="77777777" w:rsidR="00FC24E4" w:rsidRPr="00957B06" w:rsidRDefault="00FC24E4" w:rsidP="00884B88">
            <w:pPr>
              <w:spacing w:after="120"/>
              <w:rPr>
                <w:rFonts w:cs="Calibri"/>
                <w:color w:val="000000"/>
              </w:rPr>
            </w:pPr>
            <w:r w:rsidRPr="00957B06">
              <w:rPr>
                <w:rFonts w:cs="Calibri"/>
                <w:color w:val="000000"/>
              </w:rPr>
              <w:t xml:space="preserve">Koszt funkcjonowania </w:t>
            </w:r>
            <w:r w:rsidRPr="00957B06">
              <w:rPr>
                <w:rFonts w:cs="Calibri"/>
                <w:b/>
                <w:color w:val="000000"/>
              </w:rPr>
              <w:t xml:space="preserve">Rady Dostępności, </w:t>
            </w:r>
            <w:r w:rsidRPr="00957B06">
              <w:rPr>
                <w:rFonts w:cs="Calibri"/>
                <w:color w:val="000000"/>
              </w:rPr>
              <w:t>którą przewidziano</w:t>
            </w:r>
            <w:r w:rsidRPr="00957B06">
              <w:rPr>
                <w:rFonts w:cs="Calibri"/>
                <w:b/>
                <w:color w:val="000000"/>
              </w:rPr>
              <w:t xml:space="preserve"> </w:t>
            </w:r>
            <w:r w:rsidRPr="00957B06">
              <w:rPr>
                <w:rFonts w:cs="Calibri"/>
                <w:color w:val="000000"/>
              </w:rPr>
              <w:t>w ustawie został oszacowany na poziomie łącznym ok. 5 mln zł. Przy szacowaniu skutków utworzenia Rady Dostępności uwzględniono głównie koszty związane z organizacją jej posiedzeń (kilka rocznie), grup roboczych powołanych w ramach jej składu (kilkanaście rocznie dla 2-3 grup), koszty udziału ekspertów w posiedzeniach Rady i grup (ewentualne wynagrodzenie jeśli będzie to niezbędne dla ekspertów nie będących członkami RD), koszty ekspertyz sporządzanych na potrzeby funkcjonowania tych gremiów oraz zwroty kosztów podróży dla członków Rady uczestniczących w jej posiedzeniach. Przedstawiony w OSR koszt funkcjonowania Rady nie uwzględnia wynagrodzeń dla członków zasiadających w jej składzie ponieważ przyjęto zasadę nieodpłatnego członkostwa, która jest stosowana w innych tego rodzaju ciałach o charakterze opiniodawczo-doradczym.</w:t>
            </w:r>
          </w:p>
          <w:p w14:paraId="2B454FCB" w14:textId="77777777" w:rsidR="00FC24E4" w:rsidRPr="00957B06" w:rsidRDefault="00FC24E4" w:rsidP="00884B88">
            <w:pPr>
              <w:spacing w:after="120"/>
              <w:rPr>
                <w:rFonts w:cs="Calibri"/>
                <w:color w:val="000000"/>
              </w:rPr>
            </w:pPr>
            <w:r w:rsidRPr="00957B06">
              <w:rPr>
                <w:rFonts w:cs="Calibri"/>
                <w:color w:val="000000"/>
              </w:rPr>
              <w:t xml:space="preserve">Po stronie wydatkowej uwzględniono także kwoty związane z utworzeniem </w:t>
            </w:r>
            <w:r w:rsidRPr="00957B06">
              <w:rPr>
                <w:rFonts w:cs="Calibri"/>
                <w:b/>
                <w:color w:val="000000"/>
              </w:rPr>
              <w:t>Funduszu Dostępności</w:t>
            </w:r>
            <w:r w:rsidRPr="00957B06">
              <w:rPr>
                <w:rFonts w:cs="Calibri"/>
                <w:color w:val="000000"/>
              </w:rPr>
              <w:t xml:space="preserve">. Jego źródłami finansowania będą: </w:t>
            </w:r>
          </w:p>
          <w:p w14:paraId="1D12DDEA" w14:textId="77777777" w:rsidR="00FC24E4" w:rsidRPr="00957B06" w:rsidRDefault="00FC24E4" w:rsidP="00884B88">
            <w:pPr>
              <w:widowControl/>
              <w:numPr>
                <w:ilvl w:val="0"/>
                <w:numId w:val="8"/>
              </w:numPr>
              <w:autoSpaceDE/>
              <w:autoSpaceDN/>
              <w:spacing w:after="120"/>
              <w:rPr>
                <w:rFonts w:cs="Calibri"/>
                <w:color w:val="000000"/>
              </w:rPr>
            </w:pPr>
            <w:r w:rsidRPr="00957B06">
              <w:rPr>
                <w:rFonts w:cs="Calibri"/>
                <w:color w:val="000000"/>
              </w:rPr>
              <w:t>środki pochodzące ze zwrotów z pożyczek udzielanych ze środków europejskich – 137,5 mln w rozkładzie 10-cioletnim,</w:t>
            </w:r>
          </w:p>
          <w:p w14:paraId="77D81233" w14:textId="77777777" w:rsidR="00FC24E4" w:rsidRPr="00957B06" w:rsidRDefault="00FC24E4" w:rsidP="00884B88">
            <w:pPr>
              <w:widowControl/>
              <w:numPr>
                <w:ilvl w:val="0"/>
                <w:numId w:val="8"/>
              </w:numPr>
              <w:autoSpaceDE/>
              <w:autoSpaceDN/>
              <w:spacing w:after="120"/>
              <w:rPr>
                <w:rFonts w:cs="Calibri"/>
                <w:color w:val="000000"/>
              </w:rPr>
            </w:pPr>
            <w:r w:rsidRPr="00957B06">
              <w:rPr>
                <w:rFonts w:cs="Calibri"/>
                <w:color w:val="000000"/>
              </w:rPr>
              <w:lastRenderedPageBreak/>
              <w:t>środki SFWON – 400 mln zł (40 mln zł rocznie),</w:t>
            </w:r>
          </w:p>
          <w:p w14:paraId="4A4816F5" w14:textId="77777777" w:rsidR="00FC24E4" w:rsidRPr="00957B06" w:rsidRDefault="00FC24E4" w:rsidP="00884B88">
            <w:pPr>
              <w:widowControl/>
              <w:numPr>
                <w:ilvl w:val="0"/>
                <w:numId w:val="8"/>
              </w:numPr>
              <w:autoSpaceDE/>
              <w:autoSpaceDN/>
              <w:spacing w:after="120"/>
              <w:rPr>
                <w:rFonts w:cs="Calibri"/>
                <w:color w:val="000000"/>
              </w:rPr>
            </w:pPr>
            <w:r w:rsidRPr="00957B06">
              <w:rPr>
                <w:rFonts w:cs="Calibri"/>
                <w:color w:val="000000"/>
              </w:rPr>
              <w:t xml:space="preserve">budżet państwa (wnioskowana kwota na lata 2020-2028 to 320 mln zł), </w:t>
            </w:r>
          </w:p>
          <w:p w14:paraId="4AA58E78" w14:textId="77777777" w:rsidR="00FC24E4" w:rsidRPr="00957B06" w:rsidRDefault="00FC24E4" w:rsidP="00884B88">
            <w:pPr>
              <w:widowControl/>
              <w:numPr>
                <w:ilvl w:val="0"/>
                <w:numId w:val="8"/>
              </w:numPr>
              <w:autoSpaceDE/>
              <w:autoSpaceDN/>
              <w:spacing w:after="120"/>
              <w:rPr>
                <w:rFonts w:cs="Calibri"/>
                <w:color w:val="000000"/>
              </w:rPr>
            </w:pPr>
            <w:r w:rsidRPr="00957B06">
              <w:rPr>
                <w:rFonts w:cs="Calibri"/>
                <w:color w:val="000000"/>
              </w:rPr>
              <w:t xml:space="preserve">wpływy z grzywien w celu przymuszenia, nakładanych na mocy ustawy. </w:t>
            </w:r>
          </w:p>
          <w:p w14:paraId="4C5766C9" w14:textId="6B0D531A" w:rsidR="00FC24E4" w:rsidRPr="00957B06" w:rsidRDefault="00FC24E4" w:rsidP="00884B88">
            <w:pPr>
              <w:spacing w:after="120"/>
              <w:rPr>
                <w:rFonts w:cs="Calibri"/>
                <w:color w:val="000000"/>
              </w:rPr>
            </w:pPr>
            <w:r w:rsidRPr="00957B06">
              <w:rPr>
                <w:rFonts w:cs="Calibri"/>
                <w:color w:val="000000"/>
              </w:rPr>
              <w:t xml:space="preserve">Należy jednak zauważyć, że są to tylko kwoty przewidywane lub zaplanowane w chwili obecnej, natomiast potencjał Funduszu </w:t>
            </w:r>
            <w:r w:rsidR="00CD5EBC" w:rsidRPr="00957B06">
              <w:rPr>
                <w:rFonts w:cs="Calibri"/>
                <w:color w:val="000000"/>
              </w:rPr>
              <w:t>D</w:t>
            </w:r>
            <w:r w:rsidRPr="00957B06">
              <w:rPr>
                <w:rFonts w:cs="Calibri"/>
                <w:color w:val="000000"/>
              </w:rPr>
              <w:t xml:space="preserve">ostępności może zostać rozszerzony poprzez inne źródła jego finansowania lub dalszą kapitalizację ze wskazanych źródeł (np. zwroty z instrumentów pożyczkowych z innych funduszy niż Europejski Fundusz Społeczny).  Z utworzeniem Funduszu Dostępności jako funduszu celowego wiążą się również dodatkowe obowiązki związane z jego obsługą. Będzie ona prowadzona w Ministerstwie Inwestycji i Rozwoju. W związku z dodatkowymi obowiązkami nałożonymi na </w:t>
            </w:r>
            <w:proofErr w:type="spellStart"/>
            <w:r w:rsidRPr="00957B06">
              <w:rPr>
                <w:rFonts w:cs="Calibri"/>
                <w:color w:val="000000"/>
              </w:rPr>
              <w:t>MIiR</w:t>
            </w:r>
            <w:proofErr w:type="spellEnd"/>
            <w:r w:rsidRPr="00957B06">
              <w:rPr>
                <w:rFonts w:cs="Calibri"/>
                <w:color w:val="000000"/>
              </w:rPr>
              <w:t xml:space="preserve"> w tym zakresie,  planuje się utworzenie w </w:t>
            </w:r>
            <w:proofErr w:type="spellStart"/>
            <w:r w:rsidRPr="00957B06">
              <w:rPr>
                <w:rFonts w:cs="Calibri"/>
                <w:color w:val="000000"/>
              </w:rPr>
              <w:t>MIiR</w:t>
            </w:r>
            <w:proofErr w:type="spellEnd"/>
            <w:r w:rsidRPr="00957B06">
              <w:rPr>
                <w:rFonts w:cs="Calibri"/>
                <w:color w:val="000000"/>
              </w:rPr>
              <w:t xml:space="preserve"> w 2020 roku 4 etatów, a od 2021 roku 5 etatów. Roczny koszt jednego etatu w 2020 r. roku (wynagrodzenia wraz pochodnymi) oszacowano na poziomie 108 tys. zł (w tym wynagrodzenie osobowe 90,3 tys. zł), natomiast od 2021 r. roczny koszt jednego etatu przyjęto na poziomie 117 tys. zł (w tym wynagrodzenie osobowe i DWR 98 tys. zł). Przy szacowaniu bazowano na średnim wynagrodzeniu osobowym w </w:t>
            </w:r>
            <w:proofErr w:type="spellStart"/>
            <w:r w:rsidRPr="00957B06">
              <w:rPr>
                <w:rFonts w:cs="Calibri"/>
                <w:color w:val="000000"/>
              </w:rPr>
              <w:t>MIiR</w:t>
            </w:r>
            <w:proofErr w:type="spellEnd"/>
            <w:r w:rsidRPr="00957B06">
              <w:rPr>
                <w:rFonts w:cs="Calibri"/>
                <w:color w:val="000000"/>
              </w:rPr>
              <w:t xml:space="preserve"> w części 34 -Rozwój regionalny w grupie członków korpusu służby cywilnej, wynikającym z ustawy budżetowej na 2019 rok i wynoszącym 7,5 tys. zł brutto miesięcznie. Przyjmując takie założenia, łączna kwota wydatków na wynagrodzenia  w okresie 10 lat funkcjonowania ustawy wyniesie  5,1 mln zł. Limit wydatków na wynagrodzenia w części 34 - Rozwój regionalny  powinien być zatem zwiększony o kwoty wynikające z ww. kalkulacji.</w:t>
            </w:r>
          </w:p>
          <w:p w14:paraId="500F1B03" w14:textId="77777777" w:rsidR="00FC24E4" w:rsidRPr="00957B06" w:rsidRDefault="00FC24E4" w:rsidP="00884B88">
            <w:pPr>
              <w:spacing w:after="120"/>
              <w:rPr>
                <w:rFonts w:cs="Calibri"/>
                <w:color w:val="000000"/>
              </w:rPr>
            </w:pPr>
            <w:r w:rsidRPr="00957B06">
              <w:rPr>
                <w:rFonts w:cs="Calibri"/>
                <w:color w:val="000000"/>
              </w:rPr>
              <w:t xml:space="preserve">Do kosztów wdrożenia ustawy należy również wliczyć koszt obsługi </w:t>
            </w:r>
            <w:r w:rsidRPr="00957B06">
              <w:rPr>
                <w:rFonts w:cs="Calibri"/>
                <w:b/>
                <w:color w:val="000000"/>
              </w:rPr>
              <w:t>procesu skargowego</w:t>
            </w:r>
            <w:r w:rsidRPr="00957B06">
              <w:rPr>
                <w:rFonts w:cs="Calibri"/>
                <w:color w:val="000000"/>
              </w:rPr>
              <w:t xml:space="preserve">. Zgodnie z projektem ustawy, instytucją rozpatrującą skargi i odpowiedzialną za ich egzekucję będzie PFRON. Szacuje się że realizacja nowych zadań, polegających na obsłudze postępowań skargowych będzie kosztować ok. 6,6 mln zł/średniorocznie (uwzględniając fakt że wydatki na ten cel pojawią się dopiero w 2021 r. (24 miesięczny okres vacatio legis na </w:t>
            </w:r>
            <w:r w:rsidRPr="00957B06">
              <w:rPr>
                <w:rFonts w:cs="Calibri"/>
                <w:color w:val="000000"/>
              </w:rPr>
              <w:lastRenderedPageBreak/>
              <w:t xml:space="preserve">przepisy skargowe). Kwota ta została wyliczona jako iloczyn: liczby nowych etatów (4) przypadających na każdy oddział regionalny PFRON (16) zakładając średnią wartość etatu wraz z pochodnymi na poziomie ok. 8 tys. zł miesięcznie . Daje to sumę łączną ok. 50  mln zł do 2028 r. </w:t>
            </w:r>
          </w:p>
          <w:p w14:paraId="6E8C34CD" w14:textId="77777777" w:rsidR="00FC24E4" w:rsidRPr="00467BD3" w:rsidRDefault="00FC24E4" w:rsidP="00884B88">
            <w:pPr>
              <w:spacing w:after="120"/>
              <w:rPr>
                <w:rFonts w:cs="Calibri"/>
                <w:color w:val="000000"/>
              </w:rPr>
            </w:pPr>
            <w:r w:rsidRPr="00957B06">
              <w:rPr>
                <w:rFonts w:cs="Calibri"/>
                <w:b/>
                <w:color w:val="000000"/>
              </w:rPr>
              <w:t>Łączny koszt wdrożenia ustawy wyniesie zatem ok. 14 mld zł.</w:t>
            </w:r>
          </w:p>
          <w:p w14:paraId="74DB81DA" w14:textId="393E7DA2" w:rsidR="009C15F8" w:rsidRPr="00957B06" w:rsidRDefault="00FC24E4" w:rsidP="00884B88">
            <w:pPr>
              <w:pStyle w:val="TableParagraph"/>
              <w:spacing w:line="250" w:lineRule="atLeast"/>
              <w:ind w:right="96"/>
            </w:pPr>
            <w:r w:rsidRPr="00957B06">
              <w:rPr>
                <w:rFonts w:cs="Calibri"/>
                <w:color w:val="000000"/>
              </w:rPr>
              <w:t xml:space="preserve">Przy podziale wydatków związanych z ustawą na poszczególne lata jej obowiązywania przyjęto założenie że w pierwszych dwóch latach od jej wejścia w życie tj. 2021 oraz 2022 r. konieczne będą zwiększone środki na zapewnienie dostępności (dwukrotność wartości średniorocznej), natomiast w latach kolejnych kwoty te będą stopniowo się zmniejszać. Związane to jest zarówno z koniecznością zapewnienia brakujących urządzeń czy instalacji do zapewniania dostępności wraz z rozpoczęciem obowiązywania przepisów ustawy ale także z rosnącym znaczeniem świadomości podmiotów publicznych w tym zakresie w kolejnych latach. Koszty wdrożenia trzynastu zaplanowanych w projekcie nowelizacji innych ustaw nie są możliwe do precyzyjnego oszacowania na bieżącym etapie ze względu na brak odpowiednich danych. Wynika to również  z nowatorskiego charakteru proponowanych regulacji, których wartości kosztów nie były dotychczas szacowane. Niemniej jednak np. w przypadku sektora bankowego, można oszacować, że koszty przygotowania dokumentów bankowych (umowy, regulaminy), które zgodnie z projektowaną regulacją mają być możliwe do otrzymania w formatach dostępnych (np. nagranie, wydruk w alfabecie Braille’a) wyniosą rocznie ok. 20 mln zł. Szacunek ten wynika z założenia że dotyczy 616 instytucji prowadzących działalność bankową i rocznie ok. 100 osób wystąpi o udostępnienie takich dokumentów, co z kolei określono na podstawie doświadczenia organizacji pozarządowych działających na rzecz osób niepełnosprawnych. W odniesieniu do innych metod szacowania kosztów zapewniania dostępności, przyjmuje się zgodnie z badaniami i statystykami międzynarodowymi (WHO), że w wymiarze infrastrukturalnym koszt zapewnienia dostępności inwestycji na </w:t>
            </w:r>
            <w:r w:rsidRPr="00957B06">
              <w:rPr>
                <w:rFonts w:cs="Calibri"/>
                <w:color w:val="000000"/>
              </w:rPr>
              <w:lastRenderedPageBreak/>
              <w:t xml:space="preserve">etapie ich planowania czy planowania zakupu, zgodnie z ideą uniwersalnego projektowania to około 1-2% jej wartości. Znane są również przypadki, w których analiza dostępności na etapie projektowania inwestycji oraz zastosowanie uniwersalnego projektowania wpłynęły na obniżenie jej pierwotnie zaplanowanego kosztu. Należy także  zauważyć, że w kontekście oceny poziomu wydatków na dostępność, zawsze należy uwzględniać łącznie nie tylko wydatki bezpośrednie związane z inwestycjami, ale także koszty pośrednie (budżetu państwa czy </w:t>
            </w:r>
            <w:proofErr w:type="spellStart"/>
            <w:r w:rsidRPr="00957B06">
              <w:rPr>
                <w:rFonts w:cs="Calibri"/>
                <w:color w:val="000000"/>
              </w:rPr>
              <w:t>jst</w:t>
            </w:r>
            <w:proofErr w:type="spellEnd"/>
            <w:r w:rsidRPr="00957B06">
              <w:rPr>
                <w:rFonts w:cs="Calibri"/>
                <w:color w:val="000000"/>
              </w:rPr>
              <w:t xml:space="preserve"> związane z potrzebą udzielania większego wsparcia), związane z postępującym wykluczeniem całych grup społecznych oraz koszty alternatywne często „niepoliczalne” (np. angażowanie członków rodziny w opiekę nad osobą ze szczególnymi potrzebami). W tym kontekście koszty na poprawę dostępności należy oceniać jako element prewencji i szanse na ograniczenie wsparcia poprzez ograniczenie potrzeb i wydłużenie względnego okresu samodzielności i niezależności osób ze szczególnymi potrzebami.</w:t>
            </w:r>
          </w:p>
        </w:tc>
        <w:tc>
          <w:tcPr>
            <w:tcW w:w="3689" w:type="dxa"/>
          </w:tcPr>
          <w:p w14:paraId="2C29B151" w14:textId="77777777" w:rsidR="00C25EC9" w:rsidRPr="00957B06" w:rsidRDefault="00C25EC9" w:rsidP="00884B88">
            <w:pPr>
              <w:pStyle w:val="Tekstkomentarza"/>
              <w:rPr>
                <w:rFonts w:cs="Calibri"/>
                <w:color w:val="000000"/>
                <w:sz w:val="22"/>
                <w:szCs w:val="22"/>
              </w:rPr>
            </w:pPr>
            <w:r w:rsidRPr="00957B06">
              <w:rPr>
                <w:rFonts w:cs="Calibri"/>
                <w:color w:val="000000"/>
                <w:sz w:val="22"/>
                <w:szCs w:val="22"/>
              </w:rPr>
              <w:lastRenderedPageBreak/>
              <w:t>Faktyczne koszty funkcjonowania ustawy są trudne do precyzyjnego oszacowania.</w:t>
            </w:r>
          </w:p>
          <w:p w14:paraId="504B4BD3" w14:textId="69BEFE84" w:rsidR="00E369E4" w:rsidRPr="00957B06" w:rsidRDefault="00E369E4" w:rsidP="00884B88">
            <w:pPr>
              <w:pStyle w:val="TableParagraph"/>
              <w:tabs>
                <w:tab w:val="left" w:pos="3055"/>
              </w:tabs>
              <w:spacing w:line="250" w:lineRule="atLeast"/>
              <w:ind w:left="107" w:right="96"/>
              <w:rPr>
                <w:rFonts w:cs="Calibri"/>
                <w:color w:val="000000"/>
              </w:rPr>
            </w:pPr>
            <w:r w:rsidRPr="00957B06">
              <w:rPr>
                <w:rFonts w:cs="Calibri"/>
                <w:color w:val="000000"/>
              </w:rPr>
              <w:t xml:space="preserve">Oprócz tych, wskazanych w pkt 3.4 (koszty obsługi ustawy + koszty projektów europejskich służących realizacji celów ustawy) składają się na nie głównie koszty jakie ponieść musi każdy podmiot publiczny zobowiązany ustawą. </w:t>
            </w:r>
          </w:p>
          <w:p w14:paraId="2B12A8C2" w14:textId="77777777" w:rsidR="00E369E4" w:rsidRPr="00957B06" w:rsidRDefault="00E369E4" w:rsidP="00884B88">
            <w:pPr>
              <w:pStyle w:val="TableParagraph"/>
              <w:tabs>
                <w:tab w:val="left" w:pos="3055"/>
              </w:tabs>
              <w:spacing w:line="250" w:lineRule="atLeast"/>
              <w:ind w:left="107" w:right="96"/>
            </w:pPr>
          </w:p>
          <w:p w14:paraId="1308445F" w14:textId="73A8BAC9" w:rsidR="003C3F42" w:rsidRPr="00957B06" w:rsidRDefault="00811CE7" w:rsidP="00884B88">
            <w:pPr>
              <w:pStyle w:val="TableParagraph"/>
              <w:tabs>
                <w:tab w:val="left" w:pos="3055"/>
              </w:tabs>
              <w:spacing w:line="250" w:lineRule="atLeast"/>
              <w:ind w:left="107" w:right="96"/>
            </w:pPr>
            <w:r w:rsidRPr="00957B06">
              <w:t>System monitoringu ustawy nie przewidywał szczegółowego gromadzenia danych związanych z wydatkowaniem środków na realizację działań związanych z rozwojem dostępności</w:t>
            </w:r>
            <w:r w:rsidR="003C3F42" w:rsidRPr="00957B06">
              <w:t xml:space="preserve"> – zwłaszcza na poziomie pojedynczego podmiotu publicznego. Warto w tym miejscu dodać, że obowiązkiem ustawowym objęto co najmniej 65 tys. takich podmiotów w całym kraju. </w:t>
            </w:r>
          </w:p>
          <w:p w14:paraId="3B1B731A" w14:textId="77777777" w:rsidR="003C3F42" w:rsidRPr="00957B06" w:rsidRDefault="003C3F42" w:rsidP="00884B88">
            <w:pPr>
              <w:pStyle w:val="TableParagraph"/>
              <w:tabs>
                <w:tab w:val="left" w:pos="3055"/>
              </w:tabs>
              <w:spacing w:line="250" w:lineRule="atLeast"/>
              <w:ind w:left="107" w:right="96"/>
            </w:pPr>
          </w:p>
          <w:p w14:paraId="4665404C" w14:textId="4C4CC0CB" w:rsidR="00646B30" w:rsidRPr="00957B06" w:rsidRDefault="00E369E4" w:rsidP="00884B88">
            <w:pPr>
              <w:pStyle w:val="TableParagraph"/>
              <w:tabs>
                <w:tab w:val="left" w:pos="3055"/>
              </w:tabs>
              <w:spacing w:line="250" w:lineRule="atLeast"/>
              <w:ind w:left="107" w:right="96"/>
            </w:pPr>
            <w:r w:rsidRPr="00957B06">
              <w:t>Jednakże pewnym pr</w:t>
            </w:r>
            <w:r w:rsidR="00573BE6" w:rsidRPr="00957B06">
              <w:t>z</w:t>
            </w:r>
            <w:r w:rsidRPr="00957B06">
              <w:t>ybliżeniem skali wydatków mogą być analizy wykonane w</w:t>
            </w:r>
            <w:r w:rsidR="00814DAD" w:rsidRPr="00957B06">
              <w:t xml:space="preserve"> </w:t>
            </w:r>
            <w:r w:rsidR="00646B30" w:rsidRPr="00957B06">
              <w:t>badaniu ewaluacyjnym ustawy</w:t>
            </w:r>
            <w:r w:rsidRPr="00957B06">
              <w:t xml:space="preserve">, gdzie </w:t>
            </w:r>
            <w:r w:rsidR="00646B30" w:rsidRPr="00957B06">
              <w:t xml:space="preserve"> oszacowano</w:t>
            </w:r>
            <w:r w:rsidRPr="00957B06">
              <w:t xml:space="preserve"> na próbie badanych podmiotów</w:t>
            </w:r>
            <w:r w:rsidR="00646B30" w:rsidRPr="00957B06">
              <w:t>, że orientacyjna kwota, jaką wydano w instytucji na zapewnienie dostępności od wejścia w życie ustawy, wyniosła najczęściej do 50 tys. zł (50,46%) lub od 51 do 100 tys. zł (17,59%).</w:t>
            </w:r>
          </w:p>
          <w:p w14:paraId="378D176B" w14:textId="2A2847ED" w:rsidR="00D61E98" w:rsidRPr="00957B06" w:rsidRDefault="0091304A" w:rsidP="00884B88">
            <w:pPr>
              <w:pStyle w:val="TableParagraph"/>
              <w:tabs>
                <w:tab w:val="left" w:pos="3055"/>
              </w:tabs>
              <w:spacing w:line="250" w:lineRule="atLeast"/>
              <w:ind w:left="107" w:right="96"/>
              <w:rPr>
                <w:b/>
                <w:bCs/>
              </w:rPr>
            </w:pPr>
            <w:r w:rsidRPr="00957B06">
              <w:rPr>
                <w:b/>
                <w:bCs/>
              </w:rPr>
              <w:t xml:space="preserve">Biorąc powyższe pod uwagę, wydatki, jakie </w:t>
            </w:r>
            <w:r w:rsidR="00724C5C" w:rsidRPr="00957B06">
              <w:rPr>
                <w:b/>
                <w:bCs/>
              </w:rPr>
              <w:t>powinny ponieść</w:t>
            </w:r>
            <w:r w:rsidRPr="00957B06">
              <w:rPr>
                <w:b/>
                <w:bCs/>
              </w:rPr>
              <w:t xml:space="preserve"> podmioty publiczne na realizację obowiązków ustawowych </w:t>
            </w:r>
            <w:r w:rsidR="00724C5C" w:rsidRPr="00957B06">
              <w:rPr>
                <w:b/>
                <w:bCs/>
              </w:rPr>
              <w:t>można byłoby oszacować na</w:t>
            </w:r>
            <w:r w:rsidR="00A32F8F" w:rsidRPr="00957B06">
              <w:rPr>
                <w:b/>
                <w:bCs/>
              </w:rPr>
              <w:t xml:space="preserve"> </w:t>
            </w:r>
            <w:r w:rsidR="00724C5C" w:rsidRPr="00957B06">
              <w:rPr>
                <w:b/>
                <w:bCs/>
              </w:rPr>
              <w:t>ok.</w:t>
            </w:r>
            <w:r w:rsidR="00A32F8F" w:rsidRPr="00957B06">
              <w:rPr>
                <w:b/>
                <w:bCs/>
              </w:rPr>
              <w:t xml:space="preserve"> 2</w:t>
            </w:r>
            <w:r w:rsidRPr="00957B06">
              <w:rPr>
                <w:b/>
                <w:bCs/>
              </w:rPr>
              <w:t>,</w:t>
            </w:r>
            <w:r w:rsidR="00A32F8F" w:rsidRPr="00957B06">
              <w:rPr>
                <w:b/>
                <w:bCs/>
              </w:rPr>
              <w:t>5</w:t>
            </w:r>
            <w:r w:rsidRPr="00957B06">
              <w:rPr>
                <w:b/>
                <w:bCs/>
              </w:rPr>
              <w:t xml:space="preserve"> mld zł. </w:t>
            </w:r>
          </w:p>
          <w:p w14:paraId="61B23C89" w14:textId="77777777" w:rsidR="003C3F42" w:rsidRPr="00957B06" w:rsidRDefault="00646B30" w:rsidP="00884B88">
            <w:pPr>
              <w:pStyle w:val="TableParagraph"/>
              <w:tabs>
                <w:tab w:val="left" w:pos="3055"/>
              </w:tabs>
              <w:spacing w:line="250" w:lineRule="atLeast"/>
              <w:ind w:left="107" w:right="96"/>
            </w:pPr>
            <w:r w:rsidRPr="00957B06">
              <w:t xml:space="preserve">Niezwykle ważne dane płyną z badania również w odniesieniu do orientacyjnej kwoty, jaka byłaby wystarczająca do realizacji wymagań wskazanych w art. 6 w instytucji, którą badana osoba reprezentowała. Najczęściej wskazywana przez ankietowanych kwota opiewa na wysokość powyżej 1 mln zł (29,5%), następnie 201 do 500 tys. zł (24,5%). </w:t>
            </w:r>
          </w:p>
          <w:p w14:paraId="503D1C48" w14:textId="695D79B1" w:rsidR="00646B30" w:rsidRPr="00957B06" w:rsidRDefault="00646B30" w:rsidP="00884B88">
            <w:pPr>
              <w:pStyle w:val="TableParagraph"/>
              <w:tabs>
                <w:tab w:val="left" w:pos="3055"/>
              </w:tabs>
              <w:spacing w:line="250" w:lineRule="atLeast"/>
              <w:ind w:left="107" w:right="96"/>
            </w:pPr>
            <w:r w:rsidRPr="00957B06">
              <w:t>Ta</w:t>
            </w:r>
            <w:r w:rsidR="003C3F42" w:rsidRPr="00957B06">
              <w:t>ka</w:t>
            </w:r>
            <w:r w:rsidRPr="00957B06">
              <w:t xml:space="preserve"> rozbieżność w wydatkach dotychczas przeznaczonych na poprawę dostępności, a tych niezbędnych do poniesienia potwierdza wniosek, zgodnie z którym </w:t>
            </w:r>
            <w:r w:rsidRPr="00957B06">
              <w:rPr>
                <w:b/>
                <w:bCs/>
              </w:rPr>
              <w:t xml:space="preserve">oparcie systemu wdrażania dostępności na przekonaniu, że środki na zapewnienie dostępności zostaną wygospodarowane w ramach bieżących wydatków i budżetów podmiotów publicznych skutkuje ograniczoną skalą </w:t>
            </w:r>
            <w:r w:rsidR="00724C5C" w:rsidRPr="00957B06">
              <w:rPr>
                <w:b/>
                <w:bCs/>
              </w:rPr>
              <w:t xml:space="preserve">faktycznego </w:t>
            </w:r>
            <w:r w:rsidRPr="00957B06">
              <w:rPr>
                <w:b/>
                <w:bCs/>
              </w:rPr>
              <w:lastRenderedPageBreak/>
              <w:t>wdrożenia dostępności</w:t>
            </w:r>
            <w:r w:rsidR="00724C5C" w:rsidRPr="00957B06">
              <w:rPr>
                <w:b/>
                <w:bCs/>
              </w:rPr>
              <w:t>, a tym samym realizacji obowiązków ustawowych</w:t>
            </w:r>
            <w:r w:rsidRPr="00957B06">
              <w:t>.</w:t>
            </w:r>
            <w:r w:rsidR="003C3F42" w:rsidRPr="00957B06">
              <w:t xml:space="preserve"> </w:t>
            </w:r>
            <w:r w:rsidR="00724C5C" w:rsidRPr="00957B06">
              <w:t xml:space="preserve">Wiele podmiotów publicznych nawet dotąd nie podjęło działań w rym zakresie – tłumacząc to brakiem dedykowanych środków finansowych. </w:t>
            </w:r>
            <w:r w:rsidR="003C3F42" w:rsidRPr="00957B06">
              <w:rPr>
                <w:b/>
                <w:bCs/>
              </w:rPr>
              <w:t>Stąd m.in. tak ważne jest by przynajmniej Fundusz Dostępności mógł stanowić dodatkową alternatywę dla angażowania środków własnych podmiotu publicznego.</w:t>
            </w:r>
            <w:r w:rsidR="003C3F42" w:rsidRPr="00957B06">
              <w:t xml:space="preserve"> </w:t>
            </w:r>
          </w:p>
        </w:tc>
      </w:tr>
      <w:tr w:rsidR="009C15F8" w:rsidRPr="00957B06" w14:paraId="66842BED" w14:textId="77777777">
        <w:trPr>
          <w:trHeight w:val="372"/>
        </w:trPr>
        <w:tc>
          <w:tcPr>
            <w:tcW w:w="11057" w:type="dxa"/>
            <w:gridSpan w:val="4"/>
            <w:shd w:val="clear" w:color="auto" w:fill="53A824"/>
          </w:tcPr>
          <w:p w14:paraId="61AA8A30" w14:textId="77777777" w:rsidR="009C15F8" w:rsidRPr="00957B06" w:rsidRDefault="00E06656">
            <w:pPr>
              <w:pStyle w:val="TableParagraph"/>
              <w:spacing w:before="60"/>
              <w:ind w:left="141"/>
              <w:rPr>
                <w:b/>
              </w:rPr>
            </w:pPr>
            <w:r w:rsidRPr="00957B06">
              <w:rPr>
                <w:b/>
              </w:rPr>
              <w:lastRenderedPageBreak/>
              <w:t>5.</w:t>
            </w:r>
            <w:r w:rsidRPr="00957B06">
              <w:rPr>
                <w:b/>
                <w:spacing w:val="56"/>
              </w:rPr>
              <w:t xml:space="preserve"> </w:t>
            </w:r>
            <w:r w:rsidRPr="00957B06">
              <w:rPr>
                <w:b/>
              </w:rPr>
              <w:t>Ewaluacja</w:t>
            </w:r>
            <w:r w:rsidRPr="00957B06">
              <w:rPr>
                <w:b/>
                <w:spacing w:val="-2"/>
              </w:rPr>
              <w:t xml:space="preserve"> </w:t>
            </w:r>
            <w:r w:rsidRPr="00957B06">
              <w:rPr>
                <w:b/>
              </w:rPr>
              <w:t>efektów</w:t>
            </w:r>
            <w:r w:rsidRPr="00957B06">
              <w:rPr>
                <w:b/>
                <w:spacing w:val="-4"/>
              </w:rPr>
              <w:t xml:space="preserve"> </w:t>
            </w:r>
            <w:r w:rsidRPr="00957B06">
              <w:rPr>
                <w:b/>
              </w:rPr>
              <w:t>według</w:t>
            </w:r>
            <w:r w:rsidRPr="00957B06">
              <w:rPr>
                <w:b/>
                <w:spacing w:val="-3"/>
              </w:rPr>
              <w:t xml:space="preserve"> </w:t>
            </w:r>
            <w:r w:rsidRPr="00957B06">
              <w:rPr>
                <w:b/>
              </w:rPr>
              <w:t>mierników</w:t>
            </w:r>
            <w:r w:rsidRPr="00957B06">
              <w:rPr>
                <w:b/>
                <w:spacing w:val="-3"/>
              </w:rPr>
              <w:t xml:space="preserve"> </w:t>
            </w:r>
            <w:r w:rsidRPr="00957B06">
              <w:rPr>
                <w:b/>
              </w:rPr>
              <w:t>podanych</w:t>
            </w:r>
            <w:r w:rsidRPr="00957B06">
              <w:rPr>
                <w:b/>
                <w:spacing w:val="-3"/>
              </w:rPr>
              <w:t xml:space="preserve"> </w:t>
            </w:r>
            <w:r w:rsidRPr="00957B06">
              <w:rPr>
                <w:b/>
              </w:rPr>
              <w:t>w</w:t>
            </w:r>
            <w:r w:rsidRPr="00957B06">
              <w:rPr>
                <w:b/>
                <w:spacing w:val="-2"/>
              </w:rPr>
              <w:t xml:space="preserve"> </w:t>
            </w:r>
            <w:r w:rsidRPr="00957B06">
              <w:rPr>
                <w:b/>
              </w:rPr>
              <w:t>OSR</w:t>
            </w:r>
            <w:r w:rsidRPr="00957B06">
              <w:rPr>
                <w:b/>
                <w:spacing w:val="-4"/>
              </w:rPr>
              <w:t xml:space="preserve"> </w:t>
            </w:r>
            <w:r w:rsidRPr="00957B06">
              <w:rPr>
                <w:b/>
              </w:rPr>
              <w:t>/</w:t>
            </w:r>
            <w:r w:rsidRPr="00957B06">
              <w:rPr>
                <w:b/>
                <w:spacing w:val="-3"/>
              </w:rPr>
              <w:t xml:space="preserve"> </w:t>
            </w:r>
            <w:r w:rsidRPr="00957B06">
              <w:rPr>
                <w:b/>
              </w:rPr>
              <w:t>teście</w:t>
            </w:r>
            <w:r w:rsidRPr="00957B06">
              <w:rPr>
                <w:b/>
                <w:spacing w:val="-3"/>
              </w:rPr>
              <w:t xml:space="preserve"> </w:t>
            </w:r>
            <w:r w:rsidRPr="00957B06">
              <w:rPr>
                <w:b/>
                <w:spacing w:val="-2"/>
              </w:rPr>
              <w:t>regulacyjnym</w:t>
            </w:r>
          </w:p>
        </w:tc>
      </w:tr>
      <w:tr w:rsidR="009C15F8" w:rsidRPr="00957B06" w14:paraId="0448F26A" w14:textId="77777777">
        <w:trPr>
          <w:trHeight w:val="252"/>
        </w:trPr>
        <w:tc>
          <w:tcPr>
            <w:tcW w:w="5123" w:type="dxa"/>
            <w:gridSpan w:val="2"/>
            <w:shd w:val="clear" w:color="auto" w:fill="53A824"/>
          </w:tcPr>
          <w:p w14:paraId="779610CA" w14:textId="77777777" w:rsidR="009C15F8" w:rsidRPr="00957B06" w:rsidRDefault="00E06656">
            <w:pPr>
              <w:pStyle w:val="TableParagraph"/>
              <w:spacing w:line="233" w:lineRule="exact"/>
              <w:ind w:left="812"/>
            </w:pPr>
            <w:r w:rsidRPr="00957B06">
              <w:rPr>
                <w:spacing w:val="-2"/>
              </w:rPr>
              <w:t>5.1 Zmiana wartości miernika zakładana</w:t>
            </w:r>
          </w:p>
        </w:tc>
        <w:tc>
          <w:tcPr>
            <w:tcW w:w="5934" w:type="dxa"/>
            <w:gridSpan w:val="2"/>
            <w:shd w:val="clear" w:color="auto" w:fill="53A824"/>
          </w:tcPr>
          <w:p w14:paraId="530F1296" w14:textId="77777777" w:rsidR="009C15F8" w:rsidRPr="00957B06" w:rsidRDefault="00E06656">
            <w:pPr>
              <w:pStyle w:val="TableParagraph"/>
              <w:spacing w:line="233" w:lineRule="exact"/>
              <w:ind w:left="1212"/>
            </w:pPr>
            <w:r w:rsidRPr="00957B06">
              <w:rPr>
                <w:spacing w:val="-2"/>
              </w:rPr>
              <w:t>5.2 Zmiana wartości miernika osiągnięta</w:t>
            </w:r>
          </w:p>
        </w:tc>
      </w:tr>
      <w:tr w:rsidR="009C15F8" w:rsidRPr="00957B06" w14:paraId="5EEEC56D" w14:textId="77777777" w:rsidTr="009B7EEA">
        <w:trPr>
          <w:trHeight w:val="8068"/>
        </w:trPr>
        <w:tc>
          <w:tcPr>
            <w:tcW w:w="5123" w:type="dxa"/>
            <w:gridSpan w:val="2"/>
          </w:tcPr>
          <w:p w14:paraId="44358A62" w14:textId="1C491841" w:rsidR="009C15F8" w:rsidRPr="00957B06" w:rsidRDefault="003E3A44" w:rsidP="00A97CBD">
            <w:pPr>
              <w:pStyle w:val="TableParagraph"/>
              <w:ind w:right="94"/>
            </w:pPr>
            <w:r w:rsidRPr="00957B06">
              <w:lastRenderedPageBreak/>
              <w:t xml:space="preserve">W OSR ustawy </w:t>
            </w:r>
            <w:r w:rsidRPr="00957B06">
              <w:rPr>
                <w:b/>
                <w:bCs/>
              </w:rPr>
              <w:t>nie określono mierników, na podstawie których dokonywana byłaby ocena efektywności realizacji ustawy</w:t>
            </w:r>
            <w:r w:rsidRPr="00957B06">
              <w:t>. Zapowiedziano, że e</w:t>
            </w:r>
            <w:r w:rsidRPr="00957B06">
              <w:rPr>
                <w:rFonts w:cs="Calibri"/>
                <w:color w:val="000000"/>
                <w:spacing w:val="-2"/>
              </w:rPr>
              <w:t xml:space="preserve">waluacja efektów projektu ustawy przeprowadzona będzie w oparciu o ocenę postępów wdrażaniu </w:t>
            </w:r>
            <w:r w:rsidR="00A33BF1" w:rsidRPr="00957B06">
              <w:rPr>
                <w:rFonts w:cs="Calibri"/>
                <w:color w:val="000000"/>
                <w:spacing w:val="-2"/>
              </w:rPr>
              <w:t xml:space="preserve">rządowego </w:t>
            </w:r>
            <w:r w:rsidRPr="00957B06">
              <w:rPr>
                <w:rFonts w:cs="Calibri"/>
                <w:color w:val="000000"/>
                <w:spacing w:val="-2"/>
              </w:rPr>
              <w:t xml:space="preserve">Programu </w:t>
            </w:r>
            <w:r w:rsidR="00A33BF1" w:rsidRPr="00957B06">
              <w:rPr>
                <w:rFonts w:cs="Calibri"/>
                <w:color w:val="000000"/>
                <w:spacing w:val="-2"/>
              </w:rPr>
              <w:t>na rzecz dostępności</w:t>
            </w:r>
            <w:r w:rsidRPr="00957B06">
              <w:rPr>
                <w:rFonts w:cs="Calibri"/>
                <w:color w:val="000000"/>
                <w:spacing w:val="-2"/>
              </w:rPr>
              <w:t>, w tym</w:t>
            </w:r>
            <w:r w:rsidR="00A33BF1" w:rsidRPr="00957B06">
              <w:rPr>
                <w:rFonts w:cs="Calibri"/>
                <w:color w:val="000000"/>
                <w:spacing w:val="-2"/>
              </w:rPr>
              <w:t>, w</w:t>
            </w:r>
            <w:r w:rsidRPr="00957B06">
              <w:rPr>
                <w:rFonts w:cs="Calibri"/>
                <w:color w:val="000000"/>
                <w:spacing w:val="-2"/>
              </w:rPr>
              <w:t xml:space="preserve"> szczególności działań podejmowanych na rzecz zapewnienia szeroko rozumianej dostępności. Badanie będzie miało na celu zarówno ocenę aspektu instytucjonalnego realizacji Programu, jak również wpływu działań wdrażanych w Programie na jego użytkowników, w tym osoby ze szczególnymi potrzebami.</w:t>
            </w:r>
          </w:p>
        </w:tc>
        <w:tc>
          <w:tcPr>
            <w:tcW w:w="5934" w:type="dxa"/>
            <w:gridSpan w:val="2"/>
          </w:tcPr>
          <w:p w14:paraId="7B429457" w14:textId="15A546CA" w:rsidR="009C15F8" w:rsidRPr="00957B06" w:rsidRDefault="009B7EEA" w:rsidP="00A97CBD">
            <w:pPr>
              <w:pStyle w:val="TableParagraph"/>
              <w:ind w:left="107" w:right="94"/>
              <w:rPr>
                <w:b/>
                <w:bCs/>
              </w:rPr>
            </w:pPr>
            <w:r w:rsidRPr="00957B06">
              <w:t xml:space="preserve">W związku z powyższym przytaczamy tu </w:t>
            </w:r>
            <w:r w:rsidRPr="00957B06">
              <w:rPr>
                <w:b/>
                <w:bCs/>
              </w:rPr>
              <w:t xml:space="preserve">główne ustalenia z oceny funkcjonowania ustawy dokonane na podstawie badania ewaluacyjnego: </w:t>
            </w:r>
          </w:p>
          <w:p w14:paraId="00995ED8" w14:textId="77777777" w:rsidR="009B7EEA" w:rsidRPr="00957B06" w:rsidRDefault="009B7EEA" w:rsidP="00A97CBD">
            <w:pPr>
              <w:pStyle w:val="TableParagraph"/>
              <w:ind w:left="107" w:right="94"/>
            </w:pPr>
          </w:p>
          <w:p w14:paraId="0B126A40" w14:textId="793A02C1" w:rsidR="009B7EEA" w:rsidRPr="00957B06" w:rsidRDefault="009B7EEA" w:rsidP="00435B9C">
            <w:pPr>
              <w:widowControl/>
              <w:adjustRightInd w:val="0"/>
            </w:pPr>
            <w:r w:rsidRPr="00957B06">
              <w:t>Ocena osiągniętych efektów została dokonana na podstawie wniosków sformułowanych w ewaluacji skuteczności funkcjonowania przepisów ustawy  o zapewnianiu dostępności osobom ze szczególnymi potrzebami, którą zlecono w 2024 r.</w:t>
            </w:r>
            <w:r w:rsidR="00435B9C" w:rsidRPr="00957B06">
              <w:t xml:space="preserve"> Badanie ewaluacyjne zostało wykonane przez konsorcjum, w którego skład weszły: Fundacja Aktywizacja, Fundacja na rzecz osób z niepełnosprawnościami, </w:t>
            </w:r>
            <w:proofErr w:type="spellStart"/>
            <w:r w:rsidR="00435B9C" w:rsidRPr="00957B06">
              <w:t>Inwestrada</w:t>
            </w:r>
            <w:proofErr w:type="spellEnd"/>
            <w:r w:rsidR="00435B9C" w:rsidRPr="00957B06">
              <w:t xml:space="preserve"> Sp. z o.o. oraz eksperci Pani Agata Gawska prowadzącą działalność gospodarczą pod nazwą Agata Gawska z siedzibą w Warszawie i Pani Sylwia Daniłowska, prowadzącą działalność gospodarczą pod nazwą Sylwia Daniłowska z siedzibą w Warszawie. Ewaluacja</w:t>
            </w:r>
            <w:r w:rsidRPr="00957B06">
              <w:t xml:space="preserve"> </w:t>
            </w:r>
            <w:r w:rsidR="00435B9C" w:rsidRPr="00957B06">
              <w:t>n</w:t>
            </w:r>
            <w:r w:rsidRPr="00957B06">
              <w:t xml:space="preserve">ie uwzględnia porównania mierników, gdyż nie zostały one określone w analizie ex </w:t>
            </w:r>
            <w:proofErr w:type="spellStart"/>
            <w:r w:rsidRPr="00957B06">
              <w:t>ante</w:t>
            </w:r>
            <w:proofErr w:type="spellEnd"/>
            <w:r w:rsidRPr="00957B06">
              <w:t>.</w:t>
            </w:r>
          </w:p>
          <w:p w14:paraId="5C82C90E" w14:textId="56FF793A" w:rsidR="009B7EEA" w:rsidRPr="00957B06" w:rsidRDefault="009B7EEA" w:rsidP="00A97CBD">
            <w:pPr>
              <w:pStyle w:val="TableParagraph"/>
              <w:ind w:left="107" w:right="94"/>
            </w:pPr>
            <w:r w:rsidRPr="00957B06">
              <w:rPr>
                <w:b/>
                <w:bCs/>
              </w:rPr>
              <w:t>Funkcjonowanie ustawy jest oceniane jako bardzo ważny krok na drodze do realizacji praw obywateli</w:t>
            </w:r>
            <w:r w:rsidRPr="00957B06">
              <w:t xml:space="preserve"> m.in. tych z niepełnosprawnościami, do samodzielnego udziału w życiu społecznym. Jednocześnie doświadczenia z 6 lat jej wdrażania pokazują, że </w:t>
            </w:r>
            <w:r w:rsidRPr="00957B06">
              <w:rPr>
                <w:b/>
                <w:bCs/>
              </w:rPr>
              <w:t>stworzone w niej mechanizmy osiągania nawet minimalnych wymogów dostępności nie są wykorzystywane w odpowiedniej skali</w:t>
            </w:r>
            <w:r w:rsidRPr="00957B06">
              <w:t xml:space="preserve"> i tym samym nie powodują pełnego, powszechnego stosowania reguł dostępności w sektorze publicznym, ani </w:t>
            </w:r>
            <w:r w:rsidRPr="00957B06">
              <w:rPr>
                <w:b/>
                <w:bCs/>
              </w:rPr>
              <w:t>nie zachęcają do wprowadzania ich przez sektor prywatny.</w:t>
            </w:r>
            <w:r w:rsidRPr="00957B06">
              <w:t xml:space="preserve">  Ewaluacja wskazuje na </w:t>
            </w:r>
            <w:r w:rsidRPr="00957B06">
              <w:rPr>
                <w:b/>
                <w:bCs/>
              </w:rPr>
              <w:t>niedostatki w stosowaniu m.in. przepisów wymagających  zlecenia zadań przez podmioty publiczne z zachowaniem reguł dostępności</w:t>
            </w:r>
            <w:r w:rsidRPr="00957B06">
              <w:t xml:space="preserve">, ale też mechanizmu certyfikacji dostępności czy skargowego, w przypadku których </w:t>
            </w:r>
            <w:r w:rsidRPr="00957B06">
              <w:rPr>
                <w:b/>
                <w:bCs/>
              </w:rPr>
              <w:t>liczba wydanych certyfikatów i liczba złożonych skarg na brak dostępności pozostają dalekie od założeń autorów ustawy</w:t>
            </w:r>
            <w:r w:rsidRPr="00957B06">
              <w:t xml:space="preserve">. Wnioski z badania wskazują na niewystarczające zaangażowanie we wdrażanie ustawy osób decyzyjnych w podmiotami publicznymi - co przekłada się na </w:t>
            </w:r>
            <w:r w:rsidRPr="00957B06">
              <w:rPr>
                <w:b/>
                <w:bCs/>
              </w:rPr>
              <w:t>niski priorytet dostępności w zarządzaniu (finansowym i merytorycznym) sektora publicznego</w:t>
            </w:r>
            <w:r w:rsidRPr="00957B06">
              <w:t xml:space="preserve">. Podobne są zwłaszcza trudności z nadaniem dostępności trwałego i systemowego charakteru oraz rozszerzeniem skali uwzględniania jej w wydatkowaniu środków publicznych. </w:t>
            </w:r>
          </w:p>
          <w:p w14:paraId="2067F395" w14:textId="29F4D1FD" w:rsidR="009B7EEA" w:rsidRPr="00957B06" w:rsidRDefault="009B7EEA" w:rsidP="00A97CBD">
            <w:pPr>
              <w:pStyle w:val="TableParagraph"/>
              <w:ind w:left="107" w:right="94"/>
            </w:pPr>
            <w:r w:rsidRPr="00957B06">
              <w:rPr>
                <w:b/>
                <w:bCs/>
              </w:rPr>
              <w:t xml:space="preserve">Główny ciężar wsparcia na rzecz dostępności bazuje na projektach współfinasowanych </w:t>
            </w:r>
            <w:r w:rsidR="00724C5C" w:rsidRPr="00957B06">
              <w:rPr>
                <w:b/>
                <w:bCs/>
              </w:rPr>
              <w:t>z Funduszy Europejskich</w:t>
            </w:r>
            <w:r w:rsidRPr="00957B06">
              <w:t xml:space="preserve"> - w tym zwłaszcza z Europejskiego Funduszu Społecznego Plus (dalej „EFS+”).  Projektowa formuła rozwoju dostępności sprawia, że często </w:t>
            </w:r>
            <w:r w:rsidRPr="00957B06">
              <w:rPr>
                <w:b/>
                <w:bCs/>
              </w:rPr>
              <w:t>wypracowane w projektach dobre praktyki nie mają trwałego przełożenia na polityki publiczne</w:t>
            </w:r>
            <w:r w:rsidRPr="00957B06">
              <w:t xml:space="preserve">. </w:t>
            </w:r>
            <w:r w:rsidRPr="00957B06">
              <w:rPr>
                <w:b/>
                <w:bCs/>
              </w:rPr>
              <w:t>Są wdrażane w małej skali i punktowo co nie gwarantuje ich systemowości.</w:t>
            </w:r>
            <w:r w:rsidRPr="00957B06">
              <w:t xml:space="preserve"> </w:t>
            </w:r>
          </w:p>
          <w:p w14:paraId="4EF85845" w14:textId="67ADE25A" w:rsidR="009B7EEA" w:rsidRPr="00957B06" w:rsidRDefault="009B7EEA" w:rsidP="00A97CBD">
            <w:pPr>
              <w:pStyle w:val="TableParagraph"/>
              <w:ind w:left="107" w:right="94"/>
            </w:pPr>
            <w:proofErr w:type="spellStart"/>
            <w:r w:rsidRPr="00957B06">
              <w:t>MFiPR</w:t>
            </w:r>
            <w:proofErr w:type="spellEnd"/>
            <w:r w:rsidRPr="00957B06">
              <w:t xml:space="preserve"> jako Koordynator wdrażania ustawy oraz realizacji rządowego programu na rzecz dostępności systematycznie gromadzi efekty dotychczasowych projektów czy konkursów wspierających dostępność (np. modele, poradniki, standardy) i zgodnie z zakresem swoich kompetencji zachęca - a tam, gdzie to możliwe - wymaga ich stosowania np. w inwestycjach finansowanych z udziałem środków FE. Jednak głównym wyzwaniem pozostaje przejęcie odpowiedzialności za ich wdrożenie przez resorty odpowiedzialne za daną dziedzinę czy sektor np. transport, edukację, budownictwo, zdrowie, turystykę</w:t>
            </w:r>
            <w:r w:rsidR="00F53793" w:rsidRPr="00957B06">
              <w:t>.</w:t>
            </w:r>
          </w:p>
          <w:p w14:paraId="14D18DAF" w14:textId="77777777" w:rsidR="00F53793" w:rsidRPr="00957B06" w:rsidRDefault="00F53793" w:rsidP="00A97CBD">
            <w:pPr>
              <w:pStyle w:val="TableParagraph"/>
              <w:ind w:left="107" w:right="94"/>
            </w:pPr>
          </w:p>
          <w:p w14:paraId="11B16EA7" w14:textId="2D24B2A1" w:rsidR="009B7EEA" w:rsidRPr="00957B06" w:rsidRDefault="009B7EEA" w:rsidP="00A97CBD">
            <w:pPr>
              <w:pStyle w:val="TableParagraph"/>
              <w:ind w:left="107" w:right="94"/>
            </w:pPr>
            <w:proofErr w:type="spellStart"/>
            <w:r w:rsidRPr="00957B06">
              <w:t>MFiPR</w:t>
            </w:r>
            <w:proofErr w:type="spellEnd"/>
            <w:r w:rsidRPr="00957B06">
              <w:t xml:space="preserve"> podejmuje starania by wzmocnić wykorzystanie już istniejących rozwiązań prawnych. Przykładem może być: promowanie w niektórych konkursach kierowanych do podmiotów niepublicznych, posiadania certyfikatu dostępności, </w:t>
            </w:r>
            <w:r w:rsidRPr="00957B06">
              <w:lastRenderedPageBreak/>
              <w:t xml:space="preserve">działania wzmacniające kompetencje liderskie koordynatorów, edukacja na temat sposobu wypełniania obowiązków ustawy np. raportowania stanu zapewniania dostępności skierowane do podmiotów publicznych i wiele innych. Trzeba jednak podkreślić, iż działania samego MFIPR mają jednak ograniczone pole oddziaływania. MFIPR może kształtować elementy dotyczące  wydatkowania środków FE oraz adresować działania skierowane do zaledwie małej części podmiotów publicznych i w ograniczonym zakresie ich funkcjonowania. Nie jest to jednak wystarczające i </w:t>
            </w:r>
            <w:r w:rsidRPr="00957B06">
              <w:rPr>
                <w:b/>
                <w:bCs/>
              </w:rPr>
              <w:t>nie gwarantuje trwałego osadzenia reguł dostępności w praktyce działania innych podmiotów - tak publicznych jak i prywatnych.</w:t>
            </w:r>
            <w:r w:rsidRPr="00957B06">
              <w:t xml:space="preserve"> </w:t>
            </w:r>
          </w:p>
        </w:tc>
      </w:tr>
    </w:tbl>
    <w:p w14:paraId="0918BF64" w14:textId="77777777" w:rsidR="009C15F8" w:rsidRPr="00957B06" w:rsidRDefault="009C15F8">
      <w:pPr>
        <w:spacing w:line="252" w:lineRule="exact"/>
        <w:jc w:val="both"/>
        <w:sectPr w:rsidR="009C15F8" w:rsidRPr="00957B06">
          <w:pgSz w:w="11910" w:h="16840"/>
          <w:pgMar w:top="520" w:right="300" w:bottom="280" w:left="320" w:header="708" w:footer="708" w:gutter="0"/>
          <w:cols w:space="708"/>
        </w:sectPr>
      </w:pPr>
    </w:p>
    <w:p w14:paraId="15731C2C" w14:textId="77777777" w:rsidR="009C15F8" w:rsidRPr="00467BD3" w:rsidRDefault="009C15F8">
      <w:pPr>
        <w:pStyle w:val="Tekstpodstawowy"/>
        <w:spacing w:before="7"/>
        <w:rPr>
          <w:sz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6"/>
        <w:gridCol w:w="1369"/>
        <w:gridCol w:w="985"/>
        <w:gridCol w:w="1619"/>
        <w:gridCol w:w="1321"/>
        <w:gridCol w:w="1482"/>
        <w:gridCol w:w="2143"/>
        <w:gridCol w:w="1884"/>
      </w:tblGrid>
      <w:tr w:rsidR="009C15F8" w:rsidRPr="00957B06" w14:paraId="14A43C37" w14:textId="77777777" w:rsidTr="0010239F">
        <w:trPr>
          <w:cantSplit/>
          <w:trHeight w:hRule="exact" w:val="1134"/>
        </w:trPr>
        <w:tc>
          <w:tcPr>
            <w:tcW w:w="0" w:type="auto"/>
            <w:gridSpan w:val="8"/>
            <w:shd w:val="clear" w:color="auto" w:fill="53A824"/>
          </w:tcPr>
          <w:p w14:paraId="501D71D1" w14:textId="77777777" w:rsidR="009C15F8" w:rsidRPr="00957B06" w:rsidRDefault="00E06656">
            <w:pPr>
              <w:pStyle w:val="TableParagraph"/>
              <w:spacing w:before="60"/>
              <w:ind w:left="136"/>
              <w:rPr>
                <w:b/>
              </w:rPr>
            </w:pPr>
            <w:r w:rsidRPr="00957B06">
              <w:rPr>
                <w:b/>
              </w:rPr>
              <w:t>6.</w:t>
            </w:r>
            <w:r w:rsidRPr="00957B06">
              <w:rPr>
                <w:b/>
                <w:spacing w:val="56"/>
              </w:rPr>
              <w:t xml:space="preserve"> </w:t>
            </w:r>
            <w:r w:rsidRPr="00957B06">
              <w:rPr>
                <w:b/>
              </w:rPr>
              <w:t>Przyczyny</w:t>
            </w:r>
            <w:r w:rsidRPr="00957B06">
              <w:rPr>
                <w:b/>
                <w:spacing w:val="-3"/>
              </w:rPr>
              <w:t xml:space="preserve"> </w:t>
            </w:r>
            <w:r w:rsidRPr="00957B06">
              <w:rPr>
                <w:b/>
              </w:rPr>
              <w:t>różnic</w:t>
            </w:r>
            <w:r w:rsidRPr="00957B06">
              <w:rPr>
                <w:b/>
                <w:spacing w:val="-5"/>
              </w:rPr>
              <w:t xml:space="preserve"> </w:t>
            </w:r>
            <w:r w:rsidRPr="00957B06">
              <w:rPr>
                <w:b/>
              </w:rPr>
              <w:t>między</w:t>
            </w:r>
            <w:r w:rsidRPr="00957B06">
              <w:rPr>
                <w:b/>
                <w:spacing w:val="-3"/>
              </w:rPr>
              <w:t xml:space="preserve"> </w:t>
            </w:r>
            <w:r w:rsidRPr="00957B06">
              <w:rPr>
                <w:b/>
              </w:rPr>
              <w:t>założonymi</w:t>
            </w:r>
            <w:r w:rsidRPr="00957B06">
              <w:rPr>
                <w:b/>
                <w:spacing w:val="-5"/>
              </w:rPr>
              <w:t xml:space="preserve"> </w:t>
            </w:r>
            <w:r w:rsidRPr="00957B06">
              <w:rPr>
                <w:b/>
              </w:rPr>
              <w:t>a</w:t>
            </w:r>
            <w:r w:rsidRPr="00957B06">
              <w:rPr>
                <w:b/>
                <w:spacing w:val="-3"/>
              </w:rPr>
              <w:t xml:space="preserve"> </w:t>
            </w:r>
            <w:r w:rsidRPr="00957B06">
              <w:rPr>
                <w:b/>
              </w:rPr>
              <w:t>osiągniętymi</w:t>
            </w:r>
            <w:r w:rsidRPr="00957B06">
              <w:rPr>
                <w:b/>
                <w:spacing w:val="-4"/>
              </w:rPr>
              <w:t xml:space="preserve"> </w:t>
            </w:r>
            <w:r w:rsidRPr="00957B06">
              <w:rPr>
                <w:b/>
              </w:rPr>
              <w:t>rezultatami</w:t>
            </w:r>
            <w:r w:rsidRPr="00957B06">
              <w:rPr>
                <w:b/>
                <w:spacing w:val="-5"/>
              </w:rPr>
              <w:t xml:space="preserve"> </w:t>
            </w:r>
            <w:r w:rsidRPr="00957B06">
              <w:rPr>
                <w:b/>
              </w:rPr>
              <w:t>(koszty,</w:t>
            </w:r>
            <w:r w:rsidRPr="00957B06">
              <w:rPr>
                <w:b/>
                <w:spacing w:val="-3"/>
              </w:rPr>
              <w:t xml:space="preserve"> </w:t>
            </w:r>
            <w:r w:rsidRPr="00957B06">
              <w:rPr>
                <w:b/>
              </w:rPr>
              <w:t>korzyści,</w:t>
            </w:r>
            <w:r w:rsidRPr="00957B06">
              <w:rPr>
                <w:b/>
                <w:spacing w:val="3"/>
              </w:rPr>
              <w:t xml:space="preserve"> </w:t>
            </w:r>
            <w:r w:rsidRPr="00957B06">
              <w:rPr>
                <w:b/>
              </w:rPr>
              <w:t>wartości</w:t>
            </w:r>
            <w:r w:rsidRPr="00957B06">
              <w:rPr>
                <w:b/>
                <w:spacing w:val="-2"/>
              </w:rPr>
              <w:t xml:space="preserve"> mierników)</w:t>
            </w:r>
          </w:p>
        </w:tc>
      </w:tr>
      <w:tr w:rsidR="009C15F8" w:rsidRPr="00957B06" w14:paraId="1AFDE0D5" w14:textId="77777777" w:rsidTr="0010239F">
        <w:trPr>
          <w:cantSplit/>
          <w:trHeight w:hRule="exact" w:val="1134"/>
        </w:trPr>
        <w:tc>
          <w:tcPr>
            <w:tcW w:w="0" w:type="auto"/>
            <w:gridSpan w:val="8"/>
          </w:tcPr>
          <w:p w14:paraId="4790D9BC" w14:textId="743EA5EA" w:rsidR="009C15F8" w:rsidRPr="00957B06" w:rsidRDefault="009B7EEA" w:rsidP="00D24336">
            <w:pPr>
              <w:spacing w:after="120"/>
              <w:rPr>
                <w:rFonts w:eastAsia="Arial" w:cs="Arial"/>
                <w:szCs w:val="24"/>
              </w:rPr>
            </w:pPr>
            <w:r w:rsidRPr="00957B06">
              <w:rPr>
                <w:rFonts w:eastAsia="Arial" w:cs="Arial"/>
                <w:szCs w:val="24"/>
              </w:rPr>
              <w:t>Nie dotyczy.</w:t>
            </w:r>
          </w:p>
        </w:tc>
      </w:tr>
      <w:tr w:rsidR="009C15F8" w:rsidRPr="00957B06" w14:paraId="5CF2E20B" w14:textId="77777777" w:rsidTr="0010239F">
        <w:trPr>
          <w:trHeight w:hRule="exact" w:val="382"/>
        </w:trPr>
        <w:tc>
          <w:tcPr>
            <w:tcW w:w="0" w:type="auto"/>
            <w:gridSpan w:val="8"/>
            <w:shd w:val="clear" w:color="auto" w:fill="00B050"/>
          </w:tcPr>
          <w:p w14:paraId="18A71590" w14:textId="77777777" w:rsidR="009C15F8" w:rsidRPr="00957B06" w:rsidRDefault="00E06656">
            <w:pPr>
              <w:pStyle w:val="TableParagraph"/>
              <w:spacing w:before="60"/>
              <w:ind w:left="136"/>
              <w:rPr>
                <w:b/>
              </w:rPr>
            </w:pPr>
            <w:r w:rsidRPr="00957B06">
              <w:rPr>
                <w:b/>
              </w:rPr>
              <w:t>7. Ocena obowiązków informacyjnych wynikających z ustawy</w:t>
            </w:r>
          </w:p>
        </w:tc>
      </w:tr>
      <w:tr w:rsidR="009C15F8" w:rsidRPr="00957B06" w14:paraId="5804CA46" w14:textId="77777777" w:rsidTr="0010239F">
        <w:trPr>
          <w:trHeight w:hRule="exact" w:val="351"/>
        </w:trPr>
        <w:tc>
          <w:tcPr>
            <w:tcW w:w="0" w:type="auto"/>
            <w:tcBorders>
              <w:bottom w:val="nil"/>
            </w:tcBorders>
          </w:tcPr>
          <w:p w14:paraId="6CD6AAB1" w14:textId="77777777" w:rsidR="009C15F8" w:rsidRPr="00957B06" w:rsidRDefault="00E06656">
            <w:pPr>
              <w:pStyle w:val="TableParagraph"/>
              <w:spacing w:before="120" w:line="206" w:lineRule="exact"/>
              <w:ind w:left="130"/>
              <w:rPr>
                <w:sz w:val="18"/>
              </w:rPr>
            </w:pPr>
            <w:r w:rsidRPr="00957B06">
              <w:rPr>
                <w:spacing w:val="-4"/>
                <w:sz w:val="18"/>
              </w:rPr>
              <w:t>l.p.</w:t>
            </w:r>
          </w:p>
        </w:tc>
        <w:tc>
          <w:tcPr>
            <w:tcW w:w="0" w:type="auto"/>
            <w:tcBorders>
              <w:bottom w:val="nil"/>
            </w:tcBorders>
          </w:tcPr>
          <w:p w14:paraId="025F3B52" w14:textId="77777777" w:rsidR="009C15F8" w:rsidRPr="00957B06" w:rsidRDefault="00E06656">
            <w:pPr>
              <w:pStyle w:val="TableParagraph"/>
              <w:spacing w:before="120" w:line="206" w:lineRule="exact"/>
              <w:ind w:left="411"/>
              <w:rPr>
                <w:sz w:val="18"/>
              </w:rPr>
            </w:pPr>
            <w:r w:rsidRPr="00957B06">
              <w:rPr>
                <w:spacing w:val="-2"/>
                <w:sz w:val="18"/>
              </w:rPr>
              <w:t>Obowiązek</w:t>
            </w:r>
          </w:p>
        </w:tc>
        <w:tc>
          <w:tcPr>
            <w:tcW w:w="0" w:type="auto"/>
            <w:gridSpan w:val="6"/>
            <w:vMerge w:val="restart"/>
          </w:tcPr>
          <w:p w14:paraId="1A736560" w14:textId="77777777" w:rsidR="009C15F8" w:rsidRPr="00957B06" w:rsidRDefault="00E06656">
            <w:pPr>
              <w:pStyle w:val="TableParagraph"/>
              <w:spacing w:before="120"/>
              <w:ind w:left="0" w:right="1"/>
              <w:jc w:val="center"/>
              <w:rPr>
                <w:sz w:val="18"/>
              </w:rPr>
            </w:pPr>
            <w:r w:rsidRPr="00957B06">
              <w:rPr>
                <w:sz w:val="18"/>
              </w:rPr>
              <w:t>Możliwy</w:t>
            </w:r>
            <w:r w:rsidRPr="00957B06">
              <w:rPr>
                <w:spacing w:val="-3"/>
                <w:sz w:val="18"/>
              </w:rPr>
              <w:t xml:space="preserve"> </w:t>
            </w:r>
            <w:r w:rsidRPr="00957B06">
              <w:rPr>
                <w:sz w:val="18"/>
              </w:rPr>
              <w:t>sposób</w:t>
            </w:r>
            <w:r w:rsidRPr="00957B06">
              <w:rPr>
                <w:spacing w:val="-2"/>
                <w:sz w:val="18"/>
              </w:rPr>
              <w:t xml:space="preserve"> </w:t>
            </w:r>
            <w:r w:rsidRPr="00957B06">
              <w:rPr>
                <w:sz w:val="18"/>
              </w:rPr>
              <w:t>redukcji</w:t>
            </w:r>
            <w:r w:rsidRPr="00957B06">
              <w:rPr>
                <w:spacing w:val="-3"/>
                <w:sz w:val="18"/>
              </w:rPr>
              <w:t xml:space="preserve"> </w:t>
            </w:r>
            <w:r w:rsidRPr="00957B06">
              <w:rPr>
                <w:sz w:val="18"/>
              </w:rPr>
              <w:t>wraz</w:t>
            </w:r>
            <w:r w:rsidRPr="00957B06">
              <w:rPr>
                <w:spacing w:val="-3"/>
                <w:sz w:val="18"/>
              </w:rPr>
              <w:t xml:space="preserve"> </w:t>
            </w:r>
            <w:r w:rsidRPr="00957B06">
              <w:rPr>
                <w:sz w:val="18"/>
              </w:rPr>
              <w:t>z</w:t>
            </w:r>
            <w:r w:rsidRPr="00957B06">
              <w:rPr>
                <w:spacing w:val="-2"/>
                <w:sz w:val="18"/>
              </w:rPr>
              <w:t xml:space="preserve"> uzasadnieniem</w:t>
            </w:r>
          </w:p>
        </w:tc>
      </w:tr>
      <w:tr w:rsidR="009C15F8" w:rsidRPr="00957B06" w14:paraId="67B542D0" w14:textId="77777777" w:rsidTr="0010239F">
        <w:trPr>
          <w:trHeight w:hRule="exact" w:val="136"/>
        </w:trPr>
        <w:tc>
          <w:tcPr>
            <w:tcW w:w="0" w:type="auto"/>
            <w:vMerge w:val="restart"/>
            <w:tcBorders>
              <w:top w:val="nil"/>
              <w:bottom w:val="nil"/>
            </w:tcBorders>
          </w:tcPr>
          <w:p w14:paraId="4AD0CB53" w14:textId="77777777" w:rsidR="009C15F8" w:rsidRPr="00957B06" w:rsidRDefault="009C15F8">
            <w:pPr>
              <w:pStyle w:val="TableParagraph"/>
              <w:ind w:left="0"/>
              <w:rPr>
                <w:sz w:val="16"/>
              </w:rPr>
            </w:pPr>
          </w:p>
        </w:tc>
        <w:tc>
          <w:tcPr>
            <w:tcW w:w="0" w:type="auto"/>
            <w:vMerge w:val="restart"/>
            <w:tcBorders>
              <w:top w:val="nil"/>
              <w:bottom w:val="nil"/>
            </w:tcBorders>
          </w:tcPr>
          <w:p w14:paraId="47151E92" w14:textId="77777777" w:rsidR="009C15F8" w:rsidRPr="00957B06" w:rsidRDefault="00E06656">
            <w:pPr>
              <w:pStyle w:val="TableParagraph"/>
              <w:spacing w:before="11"/>
              <w:ind w:left="159"/>
              <w:rPr>
                <w:sz w:val="18"/>
              </w:rPr>
            </w:pPr>
            <w:r w:rsidRPr="00957B06">
              <w:rPr>
                <w:sz w:val="18"/>
              </w:rPr>
              <w:t xml:space="preserve">informacyjny </w:t>
            </w:r>
            <w:r w:rsidRPr="00957B06">
              <w:rPr>
                <w:spacing w:val="-4"/>
                <w:sz w:val="18"/>
              </w:rPr>
              <w:t>(OI)</w:t>
            </w:r>
          </w:p>
        </w:tc>
        <w:tc>
          <w:tcPr>
            <w:tcW w:w="0" w:type="auto"/>
            <w:gridSpan w:val="6"/>
            <w:vMerge/>
            <w:tcBorders>
              <w:top w:val="nil"/>
            </w:tcBorders>
          </w:tcPr>
          <w:p w14:paraId="1042A4B4" w14:textId="77777777" w:rsidR="009C15F8" w:rsidRPr="00957B06" w:rsidRDefault="009C15F8">
            <w:pPr>
              <w:rPr>
                <w:sz w:val="2"/>
                <w:szCs w:val="2"/>
              </w:rPr>
            </w:pPr>
          </w:p>
        </w:tc>
      </w:tr>
      <w:tr w:rsidR="009C15F8" w:rsidRPr="00957B06" w14:paraId="6561DBB7" w14:textId="77777777" w:rsidTr="0010239F">
        <w:trPr>
          <w:trHeight w:hRule="exact" w:val="106"/>
        </w:trPr>
        <w:tc>
          <w:tcPr>
            <w:tcW w:w="0" w:type="auto"/>
            <w:vMerge/>
            <w:tcBorders>
              <w:top w:val="nil"/>
              <w:bottom w:val="nil"/>
            </w:tcBorders>
          </w:tcPr>
          <w:p w14:paraId="2FD112F6" w14:textId="77777777" w:rsidR="009C15F8" w:rsidRPr="00957B06" w:rsidRDefault="009C15F8">
            <w:pPr>
              <w:rPr>
                <w:sz w:val="2"/>
                <w:szCs w:val="2"/>
              </w:rPr>
            </w:pPr>
          </w:p>
        </w:tc>
        <w:tc>
          <w:tcPr>
            <w:tcW w:w="0" w:type="auto"/>
            <w:vMerge/>
            <w:tcBorders>
              <w:top w:val="nil"/>
              <w:bottom w:val="nil"/>
            </w:tcBorders>
          </w:tcPr>
          <w:p w14:paraId="02D12257" w14:textId="77777777" w:rsidR="009C15F8" w:rsidRPr="00957B06" w:rsidRDefault="009C15F8">
            <w:pPr>
              <w:rPr>
                <w:sz w:val="2"/>
                <w:szCs w:val="2"/>
              </w:rPr>
            </w:pPr>
          </w:p>
        </w:tc>
        <w:tc>
          <w:tcPr>
            <w:tcW w:w="0" w:type="auto"/>
            <w:tcBorders>
              <w:bottom w:val="nil"/>
            </w:tcBorders>
          </w:tcPr>
          <w:p w14:paraId="2C1F1536" w14:textId="77777777" w:rsidR="009C15F8" w:rsidRPr="00957B06" w:rsidRDefault="009C15F8">
            <w:pPr>
              <w:pStyle w:val="TableParagraph"/>
              <w:ind w:left="0"/>
              <w:rPr>
                <w:sz w:val="4"/>
              </w:rPr>
            </w:pPr>
          </w:p>
        </w:tc>
        <w:tc>
          <w:tcPr>
            <w:tcW w:w="0" w:type="auto"/>
            <w:tcBorders>
              <w:bottom w:val="nil"/>
            </w:tcBorders>
          </w:tcPr>
          <w:p w14:paraId="3F7D7589" w14:textId="77777777" w:rsidR="009C15F8" w:rsidRPr="00957B06" w:rsidRDefault="009C15F8">
            <w:pPr>
              <w:pStyle w:val="TableParagraph"/>
              <w:ind w:left="0"/>
              <w:rPr>
                <w:sz w:val="4"/>
              </w:rPr>
            </w:pPr>
          </w:p>
        </w:tc>
        <w:tc>
          <w:tcPr>
            <w:tcW w:w="0" w:type="auto"/>
            <w:tcBorders>
              <w:bottom w:val="nil"/>
            </w:tcBorders>
          </w:tcPr>
          <w:p w14:paraId="4B12ED19" w14:textId="77777777" w:rsidR="009C15F8" w:rsidRPr="00957B06" w:rsidRDefault="009C15F8">
            <w:pPr>
              <w:pStyle w:val="TableParagraph"/>
              <w:ind w:left="0"/>
              <w:rPr>
                <w:sz w:val="4"/>
              </w:rPr>
            </w:pPr>
          </w:p>
        </w:tc>
        <w:tc>
          <w:tcPr>
            <w:tcW w:w="0" w:type="auto"/>
            <w:tcBorders>
              <w:bottom w:val="nil"/>
            </w:tcBorders>
          </w:tcPr>
          <w:p w14:paraId="301EBA3D" w14:textId="77777777" w:rsidR="009C15F8" w:rsidRPr="00957B06" w:rsidRDefault="009C15F8">
            <w:pPr>
              <w:pStyle w:val="TableParagraph"/>
              <w:ind w:left="0"/>
              <w:rPr>
                <w:sz w:val="4"/>
              </w:rPr>
            </w:pPr>
          </w:p>
        </w:tc>
        <w:tc>
          <w:tcPr>
            <w:tcW w:w="0" w:type="auto"/>
            <w:tcBorders>
              <w:bottom w:val="nil"/>
            </w:tcBorders>
          </w:tcPr>
          <w:p w14:paraId="25DB8E0E" w14:textId="77777777" w:rsidR="009C15F8" w:rsidRPr="00957B06" w:rsidRDefault="009C15F8">
            <w:pPr>
              <w:pStyle w:val="TableParagraph"/>
              <w:ind w:left="0"/>
              <w:rPr>
                <w:sz w:val="4"/>
              </w:rPr>
            </w:pPr>
          </w:p>
        </w:tc>
        <w:tc>
          <w:tcPr>
            <w:tcW w:w="0" w:type="auto"/>
            <w:tcBorders>
              <w:bottom w:val="nil"/>
            </w:tcBorders>
          </w:tcPr>
          <w:p w14:paraId="72E56508" w14:textId="77777777" w:rsidR="009C15F8" w:rsidRPr="00957B06" w:rsidRDefault="009C15F8">
            <w:pPr>
              <w:pStyle w:val="TableParagraph"/>
              <w:ind w:left="0"/>
              <w:rPr>
                <w:sz w:val="4"/>
              </w:rPr>
            </w:pPr>
          </w:p>
        </w:tc>
      </w:tr>
      <w:tr w:rsidR="009C15F8" w:rsidRPr="00957B06" w14:paraId="6574A3F4" w14:textId="77777777" w:rsidTr="0010239F">
        <w:trPr>
          <w:trHeight w:hRule="exact" w:val="1412"/>
        </w:trPr>
        <w:tc>
          <w:tcPr>
            <w:tcW w:w="0" w:type="auto"/>
            <w:tcBorders>
              <w:top w:val="nil"/>
            </w:tcBorders>
          </w:tcPr>
          <w:p w14:paraId="7636E666" w14:textId="77777777" w:rsidR="009C15F8" w:rsidRPr="00957B06" w:rsidRDefault="009C15F8">
            <w:pPr>
              <w:pStyle w:val="TableParagraph"/>
              <w:ind w:left="0"/>
              <w:rPr>
                <w:sz w:val="20"/>
              </w:rPr>
            </w:pPr>
          </w:p>
        </w:tc>
        <w:tc>
          <w:tcPr>
            <w:tcW w:w="0" w:type="auto"/>
            <w:tcBorders>
              <w:top w:val="nil"/>
            </w:tcBorders>
          </w:tcPr>
          <w:p w14:paraId="3331DEFA" w14:textId="77777777" w:rsidR="009C15F8" w:rsidRPr="00957B06" w:rsidRDefault="00E06656">
            <w:pPr>
              <w:pStyle w:val="TableParagraph"/>
              <w:spacing w:before="126" w:line="276" w:lineRule="auto"/>
              <w:ind w:left="1"/>
              <w:jc w:val="center"/>
              <w:rPr>
                <w:sz w:val="18"/>
              </w:rPr>
            </w:pPr>
            <w:r w:rsidRPr="00957B06">
              <w:rPr>
                <w:sz w:val="18"/>
              </w:rPr>
              <w:t>(w</w:t>
            </w:r>
            <w:r w:rsidRPr="00957B06">
              <w:rPr>
                <w:spacing w:val="-12"/>
                <w:sz w:val="18"/>
              </w:rPr>
              <w:t xml:space="preserve"> </w:t>
            </w:r>
            <w:r w:rsidRPr="00957B06">
              <w:rPr>
                <w:sz w:val="18"/>
              </w:rPr>
              <w:t>tym</w:t>
            </w:r>
            <w:r w:rsidRPr="00957B06">
              <w:rPr>
                <w:spacing w:val="-11"/>
                <w:sz w:val="18"/>
              </w:rPr>
              <w:t xml:space="preserve"> </w:t>
            </w:r>
            <w:r w:rsidRPr="00957B06">
              <w:rPr>
                <w:sz w:val="18"/>
              </w:rPr>
              <w:t xml:space="preserve">jednostka </w:t>
            </w:r>
            <w:r w:rsidRPr="00957B06">
              <w:rPr>
                <w:spacing w:val="-2"/>
                <w:sz w:val="18"/>
              </w:rPr>
              <w:t>redakcyjna,</w:t>
            </w:r>
          </w:p>
          <w:p w14:paraId="1B43E37B" w14:textId="77777777" w:rsidR="009C15F8" w:rsidRPr="00957B06" w:rsidRDefault="00E06656">
            <w:pPr>
              <w:pStyle w:val="TableParagraph"/>
              <w:ind w:left="1" w:right="1"/>
              <w:jc w:val="center"/>
              <w:rPr>
                <w:sz w:val="18"/>
              </w:rPr>
            </w:pPr>
            <w:r w:rsidRPr="00957B06">
              <w:rPr>
                <w:sz w:val="18"/>
              </w:rPr>
              <w:t xml:space="preserve">tj. nr </w:t>
            </w:r>
            <w:r w:rsidRPr="00957B06">
              <w:rPr>
                <w:spacing w:val="-2"/>
                <w:sz w:val="18"/>
              </w:rPr>
              <w:t>artykułu)</w:t>
            </w:r>
          </w:p>
        </w:tc>
        <w:tc>
          <w:tcPr>
            <w:tcW w:w="0" w:type="auto"/>
            <w:tcBorders>
              <w:top w:val="nil"/>
            </w:tcBorders>
          </w:tcPr>
          <w:p w14:paraId="167AA42D" w14:textId="77777777" w:rsidR="009C15F8" w:rsidRPr="00957B06" w:rsidRDefault="00E06656">
            <w:pPr>
              <w:pStyle w:val="TableParagraph"/>
              <w:spacing w:before="18"/>
              <w:ind w:left="321"/>
              <w:rPr>
                <w:sz w:val="16"/>
              </w:rPr>
            </w:pPr>
            <w:r w:rsidRPr="00957B06">
              <w:rPr>
                <w:sz w:val="16"/>
              </w:rPr>
              <w:t>uchylenie</w:t>
            </w:r>
            <w:r w:rsidRPr="00957B06">
              <w:rPr>
                <w:spacing w:val="-9"/>
                <w:sz w:val="16"/>
              </w:rPr>
              <w:t xml:space="preserve"> </w:t>
            </w:r>
            <w:r w:rsidRPr="00957B06">
              <w:rPr>
                <w:spacing w:val="-5"/>
                <w:sz w:val="16"/>
              </w:rPr>
              <w:t>OI</w:t>
            </w:r>
          </w:p>
        </w:tc>
        <w:tc>
          <w:tcPr>
            <w:tcW w:w="0" w:type="auto"/>
            <w:tcBorders>
              <w:top w:val="nil"/>
            </w:tcBorders>
          </w:tcPr>
          <w:p w14:paraId="79F9188D" w14:textId="77777777" w:rsidR="009C15F8" w:rsidRPr="00957B06" w:rsidRDefault="00E06656">
            <w:pPr>
              <w:pStyle w:val="TableParagraph"/>
              <w:spacing w:before="18" w:line="276" w:lineRule="auto"/>
              <w:ind w:left="184" w:right="184" w:hanging="1"/>
              <w:jc w:val="center"/>
              <w:rPr>
                <w:sz w:val="16"/>
              </w:rPr>
            </w:pPr>
            <w:r w:rsidRPr="00957B06">
              <w:rPr>
                <w:spacing w:val="-2"/>
                <w:sz w:val="16"/>
              </w:rPr>
              <w:t>zmniejszenie</w:t>
            </w:r>
            <w:r w:rsidRPr="00957B06">
              <w:rPr>
                <w:spacing w:val="40"/>
                <w:sz w:val="16"/>
              </w:rPr>
              <w:t xml:space="preserve"> </w:t>
            </w:r>
            <w:r w:rsidRPr="00957B06">
              <w:rPr>
                <w:spacing w:val="-2"/>
                <w:sz w:val="16"/>
              </w:rPr>
              <w:t>częstotliwości</w:t>
            </w:r>
            <w:r w:rsidRPr="00957B06">
              <w:rPr>
                <w:spacing w:val="40"/>
                <w:sz w:val="16"/>
              </w:rPr>
              <w:t xml:space="preserve"> </w:t>
            </w:r>
            <w:r w:rsidRPr="00957B06">
              <w:rPr>
                <w:sz w:val="16"/>
              </w:rPr>
              <w:t>wykonywania</w:t>
            </w:r>
            <w:r w:rsidRPr="00957B06">
              <w:rPr>
                <w:spacing w:val="-10"/>
                <w:sz w:val="16"/>
              </w:rPr>
              <w:t xml:space="preserve"> </w:t>
            </w:r>
            <w:r w:rsidRPr="00957B06">
              <w:rPr>
                <w:sz w:val="16"/>
              </w:rPr>
              <w:t>OI</w:t>
            </w:r>
          </w:p>
        </w:tc>
        <w:tc>
          <w:tcPr>
            <w:tcW w:w="0" w:type="auto"/>
            <w:tcBorders>
              <w:top w:val="nil"/>
            </w:tcBorders>
          </w:tcPr>
          <w:p w14:paraId="642FE0FE" w14:textId="77777777" w:rsidR="009C15F8" w:rsidRPr="00957B06" w:rsidRDefault="00E06656">
            <w:pPr>
              <w:pStyle w:val="TableParagraph"/>
              <w:spacing w:before="18" w:line="276" w:lineRule="auto"/>
              <w:ind w:left="1"/>
              <w:jc w:val="center"/>
              <w:rPr>
                <w:sz w:val="16"/>
              </w:rPr>
            </w:pPr>
            <w:r w:rsidRPr="00957B06">
              <w:rPr>
                <w:sz w:val="16"/>
              </w:rPr>
              <w:t>zastąpienie</w:t>
            </w:r>
            <w:r w:rsidRPr="00957B06">
              <w:rPr>
                <w:spacing w:val="-10"/>
                <w:sz w:val="16"/>
              </w:rPr>
              <w:t xml:space="preserve"> </w:t>
            </w:r>
            <w:r w:rsidRPr="00957B06">
              <w:rPr>
                <w:sz w:val="16"/>
              </w:rPr>
              <w:t>trybu</w:t>
            </w:r>
            <w:r w:rsidRPr="00957B06">
              <w:rPr>
                <w:spacing w:val="40"/>
                <w:sz w:val="16"/>
              </w:rPr>
              <w:t xml:space="preserve"> </w:t>
            </w:r>
            <w:r w:rsidRPr="00957B06">
              <w:rPr>
                <w:spacing w:val="-2"/>
                <w:sz w:val="16"/>
              </w:rPr>
              <w:t>papierowego</w:t>
            </w:r>
            <w:r w:rsidRPr="00957B06">
              <w:rPr>
                <w:spacing w:val="40"/>
                <w:sz w:val="16"/>
              </w:rPr>
              <w:t xml:space="preserve"> </w:t>
            </w:r>
            <w:r w:rsidRPr="00957B06">
              <w:rPr>
                <w:spacing w:val="-2"/>
                <w:sz w:val="16"/>
              </w:rPr>
              <w:t>elektronicznym</w:t>
            </w:r>
          </w:p>
        </w:tc>
        <w:tc>
          <w:tcPr>
            <w:tcW w:w="0" w:type="auto"/>
            <w:tcBorders>
              <w:top w:val="nil"/>
            </w:tcBorders>
          </w:tcPr>
          <w:p w14:paraId="1BD74F36" w14:textId="77777777" w:rsidR="009C15F8" w:rsidRPr="00957B06" w:rsidRDefault="00E06656">
            <w:pPr>
              <w:pStyle w:val="TableParagraph"/>
              <w:spacing w:before="18" w:line="276" w:lineRule="auto"/>
              <w:ind w:left="139" w:right="138" w:hanging="1"/>
              <w:jc w:val="center"/>
              <w:rPr>
                <w:sz w:val="16"/>
              </w:rPr>
            </w:pPr>
            <w:r w:rsidRPr="00957B06">
              <w:rPr>
                <w:spacing w:val="-2"/>
                <w:sz w:val="16"/>
              </w:rPr>
              <w:t>zmniejszenie</w:t>
            </w:r>
            <w:r w:rsidRPr="00957B06">
              <w:rPr>
                <w:spacing w:val="40"/>
                <w:sz w:val="16"/>
              </w:rPr>
              <w:t xml:space="preserve"> </w:t>
            </w:r>
            <w:r w:rsidRPr="00957B06">
              <w:rPr>
                <w:spacing w:val="-2"/>
                <w:sz w:val="16"/>
              </w:rPr>
              <w:t>wymaganego</w:t>
            </w:r>
            <w:r w:rsidRPr="00957B06">
              <w:rPr>
                <w:spacing w:val="40"/>
                <w:sz w:val="16"/>
              </w:rPr>
              <w:t xml:space="preserve"> </w:t>
            </w:r>
            <w:r w:rsidRPr="00957B06">
              <w:rPr>
                <w:sz w:val="16"/>
              </w:rPr>
              <w:t>zakresu</w:t>
            </w:r>
            <w:r w:rsidRPr="00957B06">
              <w:rPr>
                <w:spacing w:val="-10"/>
                <w:sz w:val="16"/>
              </w:rPr>
              <w:t xml:space="preserve"> </w:t>
            </w:r>
            <w:r w:rsidRPr="00957B06">
              <w:rPr>
                <w:sz w:val="16"/>
              </w:rPr>
              <w:t>informacji</w:t>
            </w:r>
          </w:p>
        </w:tc>
        <w:tc>
          <w:tcPr>
            <w:tcW w:w="0" w:type="auto"/>
            <w:tcBorders>
              <w:top w:val="nil"/>
            </w:tcBorders>
          </w:tcPr>
          <w:p w14:paraId="2E06836A" w14:textId="77777777" w:rsidR="009C15F8" w:rsidRPr="00957B06" w:rsidRDefault="00E06656">
            <w:pPr>
              <w:pStyle w:val="TableParagraph"/>
              <w:spacing w:before="18" w:line="276" w:lineRule="auto"/>
              <w:ind w:left="263" w:right="262" w:hanging="1"/>
              <w:jc w:val="center"/>
              <w:rPr>
                <w:sz w:val="16"/>
              </w:rPr>
            </w:pPr>
            <w:r w:rsidRPr="00957B06">
              <w:rPr>
                <w:spacing w:val="-2"/>
                <w:sz w:val="16"/>
              </w:rPr>
              <w:t>uproszczenie</w:t>
            </w:r>
            <w:r w:rsidRPr="00957B06">
              <w:rPr>
                <w:spacing w:val="40"/>
                <w:sz w:val="16"/>
              </w:rPr>
              <w:t xml:space="preserve"> </w:t>
            </w:r>
            <w:r w:rsidRPr="00957B06">
              <w:rPr>
                <w:sz w:val="16"/>
              </w:rPr>
              <w:t>formularza</w:t>
            </w:r>
            <w:r w:rsidRPr="00957B06">
              <w:rPr>
                <w:spacing w:val="-10"/>
                <w:sz w:val="16"/>
              </w:rPr>
              <w:t xml:space="preserve"> </w:t>
            </w:r>
            <w:r w:rsidRPr="00957B06">
              <w:rPr>
                <w:sz w:val="16"/>
              </w:rPr>
              <w:t>lub</w:t>
            </w:r>
            <w:r w:rsidRPr="00957B06">
              <w:rPr>
                <w:spacing w:val="40"/>
                <w:sz w:val="16"/>
              </w:rPr>
              <w:t xml:space="preserve"> </w:t>
            </w:r>
            <w:r w:rsidRPr="00957B06">
              <w:rPr>
                <w:spacing w:val="-2"/>
                <w:sz w:val="16"/>
              </w:rPr>
              <w:t>zamieszczenie</w:t>
            </w:r>
            <w:r w:rsidRPr="00957B06">
              <w:rPr>
                <w:spacing w:val="40"/>
                <w:sz w:val="16"/>
              </w:rPr>
              <w:t xml:space="preserve"> </w:t>
            </w:r>
            <w:r w:rsidRPr="00957B06">
              <w:rPr>
                <w:sz w:val="16"/>
              </w:rPr>
              <w:t>formularza</w:t>
            </w:r>
            <w:r w:rsidRPr="00957B06">
              <w:rPr>
                <w:spacing w:val="-3"/>
                <w:sz w:val="16"/>
              </w:rPr>
              <w:t xml:space="preserve"> </w:t>
            </w:r>
            <w:r w:rsidRPr="00957B06">
              <w:rPr>
                <w:sz w:val="16"/>
              </w:rPr>
              <w:t>na</w:t>
            </w:r>
            <w:r w:rsidRPr="00957B06">
              <w:rPr>
                <w:spacing w:val="40"/>
                <w:sz w:val="16"/>
              </w:rPr>
              <w:t xml:space="preserve"> </w:t>
            </w:r>
            <w:r w:rsidRPr="00957B06">
              <w:rPr>
                <w:spacing w:val="-2"/>
                <w:sz w:val="16"/>
              </w:rPr>
              <w:t>stronie</w:t>
            </w:r>
            <w:r w:rsidRPr="00957B06">
              <w:rPr>
                <w:spacing w:val="40"/>
                <w:sz w:val="16"/>
              </w:rPr>
              <w:t xml:space="preserve"> </w:t>
            </w:r>
            <w:r w:rsidRPr="00957B06">
              <w:rPr>
                <w:spacing w:val="-2"/>
                <w:sz w:val="16"/>
              </w:rPr>
              <w:t>internetowej</w:t>
            </w:r>
          </w:p>
        </w:tc>
        <w:tc>
          <w:tcPr>
            <w:tcW w:w="0" w:type="auto"/>
            <w:tcBorders>
              <w:top w:val="nil"/>
            </w:tcBorders>
          </w:tcPr>
          <w:p w14:paraId="4AEC4735" w14:textId="77777777" w:rsidR="009C15F8" w:rsidRPr="00957B06" w:rsidRDefault="00E06656">
            <w:pPr>
              <w:pStyle w:val="TableParagraph"/>
              <w:spacing w:before="101"/>
              <w:ind w:left="128" w:right="126" w:hanging="2"/>
              <w:jc w:val="center"/>
              <w:rPr>
                <w:sz w:val="16"/>
              </w:rPr>
            </w:pPr>
            <w:r w:rsidRPr="00957B06">
              <w:rPr>
                <w:sz w:val="16"/>
              </w:rPr>
              <w:t>skorzystanie</w:t>
            </w:r>
            <w:r w:rsidRPr="00957B06">
              <w:rPr>
                <w:spacing w:val="-3"/>
                <w:sz w:val="16"/>
              </w:rPr>
              <w:t xml:space="preserve"> </w:t>
            </w:r>
            <w:r w:rsidRPr="00957B06">
              <w:rPr>
                <w:sz w:val="16"/>
              </w:rPr>
              <w:t>z</w:t>
            </w:r>
            <w:r w:rsidRPr="00957B06">
              <w:rPr>
                <w:spacing w:val="40"/>
                <w:sz w:val="16"/>
              </w:rPr>
              <w:t xml:space="preserve"> </w:t>
            </w:r>
            <w:r w:rsidRPr="00957B06">
              <w:rPr>
                <w:spacing w:val="-2"/>
                <w:sz w:val="16"/>
              </w:rPr>
              <w:t>danych</w:t>
            </w:r>
            <w:r w:rsidRPr="00957B06">
              <w:rPr>
                <w:spacing w:val="40"/>
                <w:sz w:val="16"/>
              </w:rPr>
              <w:t xml:space="preserve"> </w:t>
            </w:r>
            <w:r w:rsidRPr="00957B06">
              <w:rPr>
                <w:sz w:val="16"/>
              </w:rPr>
              <w:t>znajdujących</w:t>
            </w:r>
            <w:r w:rsidRPr="00957B06">
              <w:rPr>
                <w:spacing w:val="-10"/>
                <w:sz w:val="16"/>
              </w:rPr>
              <w:t xml:space="preserve"> </w:t>
            </w:r>
            <w:r w:rsidRPr="00957B06">
              <w:rPr>
                <w:sz w:val="16"/>
              </w:rPr>
              <w:t>się</w:t>
            </w:r>
            <w:r w:rsidRPr="00957B06">
              <w:rPr>
                <w:spacing w:val="-10"/>
                <w:sz w:val="16"/>
              </w:rPr>
              <w:t xml:space="preserve"> </w:t>
            </w:r>
            <w:r w:rsidRPr="00957B06">
              <w:rPr>
                <w:sz w:val="16"/>
              </w:rPr>
              <w:t>w</w:t>
            </w:r>
            <w:r w:rsidRPr="00957B06">
              <w:rPr>
                <w:spacing w:val="40"/>
                <w:sz w:val="16"/>
              </w:rPr>
              <w:t xml:space="preserve"> </w:t>
            </w:r>
            <w:r w:rsidRPr="00957B06">
              <w:rPr>
                <w:sz w:val="16"/>
              </w:rPr>
              <w:t>danym</w:t>
            </w:r>
            <w:r w:rsidRPr="00957B06">
              <w:rPr>
                <w:spacing w:val="-10"/>
                <w:sz w:val="16"/>
              </w:rPr>
              <w:t xml:space="preserve"> </w:t>
            </w:r>
            <w:r w:rsidRPr="00957B06">
              <w:rPr>
                <w:sz w:val="16"/>
              </w:rPr>
              <w:t>organie</w:t>
            </w:r>
            <w:r w:rsidRPr="00957B06">
              <w:rPr>
                <w:spacing w:val="-10"/>
                <w:sz w:val="16"/>
              </w:rPr>
              <w:t xml:space="preserve"> </w:t>
            </w:r>
            <w:r w:rsidRPr="00957B06">
              <w:rPr>
                <w:sz w:val="16"/>
              </w:rPr>
              <w:t>lub</w:t>
            </w:r>
            <w:r w:rsidRPr="00957B06">
              <w:rPr>
                <w:spacing w:val="40"/>
                <w:sz w:val="16"/>
              </w:rPr>
              <w:t xml:space="preserve"> </w:t>
            </w:r>
            <w:r w:rsidRPr="00957B06">
              <w:rPr>
                <w:sz w:val="16"/>
              </w:rPr>
              <w:t>w</w:t>
            </w:r>
            <w:r w:rsidRPr="00957B06">
              <w:rPr>
                <w:spacing w:val="-3"/>
                <w:sz w:val="16"/>
              </w:rPr>
              <w:t xml:space="preserve"> </w:t>
            </w:r>
            <w:r w:rsidRPr="00957B06">
              <w:rPr>
                <w:sz w:val="16"/>
              </w:rPr>
              <w:t>innych</w:t>
            </w:r>
            <w:r w:rsidRPr="00957B06">
              <w:rPr>
                <w:spacing w:val="40"/>
                <w:sz w:val="16"/>
              </w:rPr>
              <w:t xml:space="preserve"> </w:t>
            </w:r>
            <w:r w:rsidRPr="00957B06">
              <w:rPr>
                <w:spacing w:val="-2"/>
                <w:sz w:val="16"/>
              </w:rPr>
              <w:t>instytucjach</w:t>
            </w:r>
          </w:p>
        </w:tc>
      </w:tr>
    </w:tbl>
    <w:p w14:paraId="6BFADA98" w14:textId="77777777" w:rsidR="009C15F8" w:rsidRPr="00957B06" w:rsidRDefault="009C15F8">
      <w:pPr>
        <w:sectPr w:rsidR="009C15F8" w:rsidRPr="00957B06">
          <w:pgSz w:w="11910" w:h="16840"/>
          <w:pgMar w:top="520" w:right="300" w:bottom="280" w:left="320" w:header="708" w:footer="708" w:gutter="0"/>
          <w:cols w:space="708"/>
        </w:sectPr>
      </w:pPr>
    </w:p>
    <w:p w14:paraId="11A0F3CE" w14:textId="77777777" w:rsidR="009C15F8" w:rsidRPr="00957B06" w:rsidRDefault="009C15F8">
      <w:pPr>
        <w:pStyle w:val="Tekstpodstawowy"/>
        <w:spacing w:before="7"/>
        <w:rPr>
          <w:sz w:val="2"/>
        </w:rPr>
      </w:pPr>
    </w:p>
    <w:p w14:paraId="22B53031" w14:textId="77777777" w:rsidR="009C15F8" w:rsidRPr="00957B06" w:rsidRDefault="009C15F8">
      <w:pPr>
        <w:pStyle w:val="Tekstpodstawowy"/>
        <w:spacing w:before="7"/>
        <w:rPr>
          <w:sz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
        <w:gridCol w:w="1653"/>
        <w:gridCol w:w="1317"/>
        <w:gridCol w:w="166"/>
        <w:gridCol w:w="1486"/>
        <w:gridCol w:w="1483"/>
        <w:gridCol w:w="385"/>
        <w:gridCol w:w="1099"/>
        <w:gridCol w:w="1483"/>
        <w:gridCol w:w="1484"/>
      </w:tblGrid>
      <w:tr w:rsidR="009C15F8" w:rsidRPr="00957B06" w14:paraId="3443D41A" w14:textId="77777777">
        <w:trPr>
          <w:trHeight w:val="315"/>
        </w:trPr>
        <w:tc>
          <w:tcPr>
            <w:tcW w:w="501" w:type="dxa"/>
          </w:tcPr>
          <w:p w14:paraId="1C068E76" w14:textId="3896D870" w:rsidR="009C15F8" w:rsidRPr="00957B06" w:rsidRDefault="00C60C99">
            <w:pPr>
              <w:pStyle w:val="TableParagraph"/>
              <w:ind w:left="0"/>
              <w:rPr>
                <w:sz w:val="20"/>
              </w:rPr>
            </w:pPr>
            <w:r w:rsidRPr="00957B06">
              <w:rPr>
                <w:sz w:val="20"/>
              </w:rPr>
              <w:t>1</w:t>
            </w:r>
          </w:p>
        </w:tc>
        <w:tc>
          <w:tcPr>
            <w:tcW w:w="1653" w:type="dxa"/>
          </w:tcPr>
          <w:p w14:paraId="789A8DD4" w14:textId="51EFFC8A" w:rsidR="00C41DCF" w:rsidRPr="00957B06" w:rsidRDefault="00C41DCF" w:rsidP="00C41DCF">
            <w:pPr>
              <w:pStyle w:val="TableParagraph"/>
              <w:ind w:left="107"/>
            </w:pPr>
            <w:r w:rsidRPr="00957B06">
              <w:t>Zgodnie z art. 11 ust. 1 Podmiot publiczny przekazuje co 4 lata, najpóźniej do dnia</w:t>
            </w:r>
          </w:p>
          <w:p w14:paraId="5C3FEF15" w14:textId="77777777" w:rsidR="00C41DCF" w:rsidRPr="00957B06" w:rsidRDefault="00C41DCF" w:rsidP="00C41DCF">
            <w:pPr>
              <w:pStyle w:val="TableParagraph"/>
              <w:ind w:left="107"/>
            </w:pPr>
            <w:r w:rsidRPr="00957B06">
              <w:t>31 marca danego roku, raport o stanie zapewniania dostępności osobom ze</w:t>
            </w:r>
          </w:p>
          <w:p w14:paraId="1BC3D638" w14:textId="77777777" w:rsidR="00C41DCF" w:rsidRPr="00957B06" w:rsidRDefault="00C41DCF" w:rsidP="00C41DCF">
            <w:pPr>
              <w:pStyle w:val="TableParagraph"/>
              <w:ind w:left="107"/>
            </w:pPr>
            <w:r w:rsidRPr="00957B06">
              <w:t>szczególnymi potrzebami w danym podmiocie, i publikuje go na swojej stronie</w:t>
            </w:r>
          </w:p>
          <w:p w14:paraId="42FDD0CD" w14:textId="77777777" w:rsidR="00C41DCF" w:rsidRPr="00957B06" w:rsidRDefault="00C41DCF" w:rsidP="00C41DCF">
            <w:pPr>
              <w:pStyle w:val="TableParagraph"/>
              <w:ind w:left="107"/>
            </w:pPr>
            <w:r w:rsidRPr="00957B06">
              <w:t>podmiotowej Biuletynu Informacji Publicznej, a jeżeli nie ma strony podmiotowej</w:t>
            </w:r>
          </w:p>
          <w:p w14:paraId="4294035C" w14:textId="52288482" w:rsidR="009C15F8" w:rsidRPr="00957B06" w:rsidRDefault="00C41DCF" w:rsidP="00C41DCF">
            <w:pPr>
              <w:pStyle w:val="TableParagraph"/>
              <w:ind w:left="107"/>
            </w:pPr>
            <w:r w:rsidRPr="00957B06">
              <w:t>Biuletynu Informacji Publicznej – na swojej stronie internetowej. – obowiązek informacyjny dotyczący powiadomienia społeczeństwa o konkretnych działaniach podejmowanych przez podmiot</w:t>
            </w:r>
            <w:r w:rsidR="00AE4C38" w:rsidRPr="00957B06">
              <w:t>.</w:t>
            </w:r>
          </w:p>
        </w:tc>
        <w:tc>
          <w:tcPr>
            <w:tcW w:w="1483" w:type="dxa"/>
            <w:gridSpan w:val="2"/>
          </w:tcPr>
          <w:p w14:paraId="4351A6A1" w14:textId="645D29BB" w:rsidR="009C15F8" w:rsidRPr="00957B06" w:rsidRDefault="00C41DCF">
            <w:pPr>
              <w:pStyle w:val="TableParagraph"/>
              <w:ind w:left="0"/>
              <w:rPr>
                <w:sz w:val="20"/>
              </w:rPr>
            </w:pPr>
            <w:r w:rsidRPr="00957B06">
              <w:rPr>
                <w:spacing w:val="-4"/>
              </w:rPr>
              <w:t xml:space="preserve">Częściowa możliwość redukcji obowiązku informacyjnego polegająca na likwidacji pośredniego szczebla raportowania tzn. </w:t>
            </w:r>
            <w:r w:rsidR="006278C0" w:rsidRPr="00957B06">
              <w:rPr>
                <w:spacing w:val="-4"/>
              </w:rPr>
              <w:t>rezygnacja z potrzeby przekazywania raportów podmiotów publicznych do właściwego miejscowo wojewody, dzięki wprowadzeniu nowoczesnych rozwiązań informatycznych możliwe jest przekazywanie raportów przez podmioty publiczne bezpośrednio do centralnej bazy prowadzonej przez GUS.</w:t>
            </w:r>
          </w:p>
        </w:tc>
        <w:tc>
          <w:tcPr>
            <w:tcW w:w="1486" w:type="dxa"/>
          </w:tcPr>
          <w:p w14:paraId="2E724FE5" w14:textId="6463C909" w:rsidR="009C15F8" w:rsidRPr="00957B06" w:rsidRDefault="00C41DCF">
            <w:pPr>
              <w:pStyle w:val="TableParagraph"/>
              <w:ind w:left="0"/>
              <w:rPr>
                <w:sz w:val="20"/>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3" w:type="dxa"/>
          </w:tcPr>
          <w:p w14:paraId="726FE31F" w14:textId="77703DC0" w:rsidR="009C15F8" w:rsidRPr="00957B06" w:rsidRDefault="00C41DCF">
            <w:pPr>
              <w:pStyle w:val="TableParagraph"/>
              <w:ind w:left="0"/>
              <w:rPr>
                <w:sz w:val="20"/>
              </w:rPr>
            </w:pPr>
            <w:r w:rsidRPr="00957B06">
              <w:rPr>
                <w:spacing w:val="-4"/>
              </w:rPr>
              <w:t xml:space="preserve">Ustawa nakłada obowiązek sporządzenia wersji elektronicznej celem publikacji w </w:t>
            </w:r>
            <w:proofErr w:type="spellStart"/>
            <w:r w:rsidRPr="00957B06">
              <w:rPr>
                <w:spacing w:val="-4"/>
              </w:rPr>
              <w:t>internecie</w:t>
            </w:r>
            <w:proofErr w:type="spellEnd"/>
            <w:r w:rsidR="00AE4C38" w:rsidRPr="00957B06">
              <w:rPr>
                <w:spacing w:val="-4"/>
              </w:rPr>
              <w:t>.</w:t>
            </w:r>
          </w:p>
        </w:tc>
        <w:tc>
          <w:tcPr>
            <w:tcW w:w="1484" w:type="dxa"/>
            <w:gridSpan w:val="2"/>
          </w:tcPr>
          <w:p w14:paraId="496921C9" w14:textId="27FDD661" w:rsidR="009C15F8" w:rsidRPr="00957B06" w:rsidRDefault="00C41DCF">
            <w:pPr>
              <w:pStyle w:val="TableParagraph"/>
              <w:ind w:left="0"/>
              <w:rPr>
                <w:sz w:val="20"/>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 celem usprawnienia procesu monitoringu oczekiwaniem jest zwiększenie częstotliwości przygotowania i publikacji raportu na co 2 lata</w:t>
            </w:r>
            <w:r w:rsidR="00AE4C38" w:rsidRPr="00957B06">
              <w:rPr>
                <w:spacing w:val="-5"/>
              </w:rPr>
              <w:t>.</w:t>
            </w:r>
            <w:r w:rsidRPr="00957B06">
              <w:rPr>
                <w:spacing w:val="-4"/>
              </w:rPr>
              <w:t xml:space="preserve"> </w:t>
            </w:r>
          </w:p>
        </w:tc>
        <w:tc>
          <w:tcPr>
            <w:tcW w:w="1483" w:type="dxa"/>
          </w:tcPr>
          <w:p w14:paraId="6141E9DE" w14:textId="501602CE" w:rsidR="009C15F8" w:rsidRPr="00957B06" w:rsidRDefault="00C41DCF">
            <w:pPr>
              <w:pStyle w:val="TableParagraph"/>
              <w:ind w:left="0"/>
              <w:rPr>
                <w:sz w:val="20"/>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r w:rsidRPr="00957B06">
              <w:rPr>
                <w:spacing w:val="-4"/>
              </w:rPr>
              <w:t xml:space="preserve"> , </w:t>
            </w:r>
            <w:r w:rsidRPr="00957B06">
              <w:rPr>
                <w:spacing w:val="-5"/>
              </w:rPr>
              <w:t>celem usprawnienia procesu monitoringu oczekiwaniem jest pogłębienie zakresu informacji jakie są ujawniane w raporcie</w:t>
            </w:r>
            <w:r w:rsidR="00AE4C38" w:rsidRPr="00957B06">
              <w:rPr>
                <w:spacing w:val="-5"/>
              </w:rPr>
              <w:t>.</w:t>
            </w:r>
          </w:p>
        </w:tc>
        <w:tc>
          <w:tcPr>
            <w:tcW w:w="1484" w:type="dxa"/>
          </w:tcPr>
          <w:p w14:paraId="38B5DF49" w14:textId="717D7068" w:rsidR="009C15F8" w:rsidRPr="00957B06" w:rsidRDefault="00C41DCF">
            <w:pPr>
              <w:pStyle w:val="TableParagraph"/>
              <w:ind w:left="0"/>
              <w:rPr>
                <w:sz w:val="20"/>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r>
      <w:tr w:rsidR="00C41DCF" w:rsidRPr="00957B06" w14:paraId="7BBFA41B" w14:textId="77777777">
        <w:trPr>
          <w:trHeight w:val="315"/>
        </w:trPr>
        <w:tc>
          <w:tcPr>
            <w:tcW w:w="501" w:type="dxa"/>
          </w:tcPr>
          <w:p w14:paraId="67EB9929" w14:textId="0207935A" w:rsidR="00C41DCF" w:rsidRPr="00957B06" w:rsidRDefault="00C41DCF">
            <w:pPr>
              <w:pStyle w:val="TableParagraph"/>
              <w:ind w:left="0"/>
              <w:rPr>
                <w:sz w:val="20"/>
              </w:rPr>
            </w:pPr>
            <w:r w:rsidRPr="00957B06">
              <w:rPr>
                <w:sz w:val="20"/>
              </w:rPr>
              <w:t>2</w:t>
            </w:r>
          </w:p>
        </w:tc>
        <w:tc>
          <w:tcPr>
            <w:tcW w:w="1653" w:type="dxa"/>
          </w:tcPr>
          <w:p w14:paraId="7B64B446" w14:textId="77777777" w:rsidR="00AE4C38" w:rsidRPr="00957B06" w:rsidRDefault="00AE4C38" w:rsidP="00AE4C38">
            <w:pPr>
              <w:pStyle w:val="TableParagraph"/>
              <w:ind w:left="107"/>
            </w:pPr>
            <w:r w:rsidRPr="00957B06">
              <w:t>Zgodnie z art. 11 ust 7 Minister właściwy do spraw rozwoju regionalnego, na podstawie raportów</w:t>
            </w:r>
          </w:p>
          <w:p w14:paraId="6164C90E" w14:textId="77777777" w:rsidR="00AE4C38" w:rsidRPr="00957B06" w:rsidRDefault="00AE4C38" w:rsidP="00AE4C38">
            <w:pPr>
              <w:pStyle w:val="TableParagraph"/>
              <w:ind w:left="107"/>
            </w:pPr>
            <w:r w:rsidRPr="00957B06">
              <w:t>podmiotów, o których mowa w ust. 4 pkt 1, i zbiorczych raportów o stanie</w:t>
            </w:r>
          </w:p>
          <w:p w14:paraId="72820004" w14:textId="77777777" w:rsidR="00AE4C38" w:rsidRPr="00957B06" w:rsidRDefault="00AE4C38" w:rsidP="00AE4C38">
            <w:pPr>
              <w:pStyle w:val="TableParagraph"/>
              <w:ind w:left="107"/>
            </w:pPr>
            <w:r w:rsidRPr="00957B06">
              <w:t>zapewniania dostępności osobom ze szczególnymi potrzebami na terenie danego</w:t>
            </w:r>
          </w:p>
          <w:p w14:paraId="004782CE" w14:textId="77777777" w:rsidR="00AE4C38" w:rsidRPr="00957B06" w:rsidRDefault="00AE4C38" w:rsidP="00AE4C38">
            <w:pPr>
              <w:pStyle w:val="TableParagraph"/>
              <w:ind w:left="107"/>
            </w:pPr>
            <w:r w:rsidRPr="00957B06">
              <w:t>województwa przygotowuje, w terminie do dnia 30 listopada danego roku, raport</w:t>
            </w:r>
          </w:p>
          <w:p w14:paraId="5271DB4C" w14:textId="77777777" w:rsidR="00AE4C38" w:rsidRPr="00957B06" w:rsidRDefault="00AE4C38" w:rsidP="00AE4C38">
            <w:pPr>
              <w:pStyle w:val="TableParagraph"/>
              <w:ind w:left="107"/>
            </w:pPr>
            <w:r w:rsidRPr="00957B06">
              <w:lastRenderedPageBreak/>
              <w:t>o stanie zapewniania dostępności osobom ze szczególnymi potrzebami w kraju</w:t>
            </w:r>
          </w:p>
          <w:p w14:paraId="545F9EE6" w14:textId="48BF944D" w:rsidR="00C41DCF" w:rsidRPr="00957B06" w:rsidRDefault="00AE4C38" w:rsidP="00AE4C38">
            <w:pPr>
              <w:pStyle w:val="TableParagraph"/>
              <w:ind w:left="107"/>
            </w:pPr>
            <w:r w:rsidRPr="00957B06">
              <w:t xml:space="preserve">i przekazuje go do zaopiniowania Radzie Dostępności, o której mowa w art. 13. – obowiązek informacyjny dotyczący </w:t>
            </w:r>
            <w:r w:rsidR="00DE21EE" w:rsidRPr="00957B06">
              <w:t>przekazania</w:t>
            </w:r>
            <w:r w:rsidRPr="00957B06">
              <w:t xml:space="preserve"> Rad</w:t>
            </w:r>
            <w:r w:rsidR="00DE21EE" w:rsidRPr="00957B06">
              <w:t>zie</w:t>
            </w:r>
            <w:r w:rsidRPr="00957B06">
              <w:t xml:space="preserve"> Ministrów </w:t>
            </w:r>
            <w:r w:rsidR="00DE21EE" w:rsidRPr="00957B06">
              <w:t xml:space="preserve">sprawozdania </w:t>
            </w:r>
            <w:r w:rsidRPr="00957B06">
              <w:t>o stanie zapewniania dostępności w podmiotach publicznych na podstawie przedstawionych przez nich raportów.</w:t>
            </w:r>
            <w:r w:rsidR="00DE21EE" w:rsidRPr="00957B06">
              <w:t xml:space="preserve"> </w:t>
            </w:r>
          </w:p>
        </w:tc>
        <w:tc>
          <w:tcPr>
            <w:tcW w:w="1483" w:type="dxa"/>
            <w:gridSpan w:val="2"/>
          </w:tcPr>
          <w:p w14:paraId="735FB1B2" w14:textId="5370A86E" w:rsidR="00C41DCF" w:rsidRPr="00957B06" w:rsidRDefault="00AE4C38">
            <w:pPr>
              <w:pStyle w:val="TableParagraph"/>
              <w:ind w:left="0"/>
              <w:rPr>
                <w:spacing w:val="-4"/>
              </w:rPr>
            </w:pPr>
            <w:r w:rsidRPr="00957B06">
              <w:rPr>
                <w:spacing w:val="-4"/>
              </w:rPr>
              <w:lastRenderedPageBreak/>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6" w:type="dxa"/>
          </w:tcPr>
          <w:p w14:paraId="3930F931" w14:textId="23FA7495" w:rsidR="00C41DCF" w:rsidRPr="00957B06" w:rsidRDefault="00AE4C38">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3" w:type="dxa"/>
          </w:tcPr>
          <w:p w14:paraId="26D4ACA3" w14:textId="5A572BD4" w:rsidR="00C41DCF" w:rsidRPr="00957B06" w:rsidRDefault="00AE4C38">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4" w:type="dxa"/>
            <w:gridSpan w:val="2"/>
          </w:tcPr>
          <w:p w14:paraId="47EFA8E7" w14:textId="5D394A97" w:rsidR="00C41DCF" w:rsidRPr="00957B06" w:rsidRDefault="00AE4C38">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3" w:type="dxa"/>
          </w:tcPr>
          <w:p w14:paraId="502F8EE4" w14:textId="79EF763E" w:rsidR="00C41DCF" w:rsidRPr="00957B06" w:rsidRDefault="00AE4C38">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4" w:type="dxa"/>
          </w:tcPr>
          <w:p w14:paraId="4B89AD06" w14:textId="67A88FAF" w:rsidR="00C41DCF" w:rsidRPr="00957B06" w:rsidRDefault="00AE4C38">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r>
      <w:tr w:rsidR="00064DD5" w:rsidRPr="00957B06" w14:paraId="6979BCA7" w14:textId="77777777">
        <w:trPr>
          <w:trHeight w:val="315"/>
        </w:trPr>
        <w:tc>
          <w:tcPr>
            <w:tcW w:w="501" w:type="dxa"/>
          </w:tcPr>
          <w:p w14:paraId="258D83FB" w14:textId="4926642F" w:rsidR="00064DD5" w:rsidRPr="00957B06" w:rsidRDefault="00064DD5" w:rsidP="00064DD5">
            <w:pPr>
              <w:pStyle w:val="TableParagraph"/>
              <w:rPr>
                <w:sz w:val="20"/>
              </w:rPr>
            </w:pPr>
            <w:r w:rsidRPr="00957B06">
              <w:rPr>
                <w:sz w:val="20"/>
              </w:rPr>
              <w:t>3</w:t>
            </w:r>
          </w:p>
        </w:tc>
        <w:tc>
          <w:tcPr>
            <w:tcW w:w="1653" w:type="dxa"/>
          </w:tcPr>
          <w:p w14:paraId="63BFF966" w14:textId="77777777" w:rsidR="00064DD5" w:rsidRPr="00957B06" w:rsidRDefault="00064DD5" w:rsidP="00064DD5">
            <w:pPr>
              <w:pStyle w:val="TableParagraph"/>
              <w:ind w:left="107"/>
            </w:pPr>
            <w:r w:rsidRPr="00957B06">
              <w:t>Zgodnie z art. 12 Niezależnie od obowiązku, o którym mowa w art. 11 ust. 1,</w:t>
            </w:r>
          </w:p>
          <w:p w14:paraId="56CFB305" w14:textId="77777777" w:rsidR="00064DD5" w:rsidRPr="00957B06" w:rsidRDefault="00064DD5" w:rsidP="00064DD5">
            <w:pPr>
              <w:pStyle w:val="TableParagraph"/>
              <w:ind w:left="107"/>
            </w:pPr>
            <w:r w:rsidRPr="00957B06">
              <w:t>w szczególnie uzasadnionych przypadkach, minister właściwy do spraw rozwoju</w:t>
            </w:r>
          </w:p>
          <w:p w14:paraId="79139A82" w14:textId="77777777" w:rsidR="00064DD5" w:rsidRPr="00957B06" w:rsidRDefault="00064DD5" w:rsidP="00064DD5">
            <w:pPr>
              <w:pStyle w:val="TableParagraph"/>
              <w:ind w:left="107"/>
            </w:pPr>
            <w:r w:rsidRPr="00957B06">
              <w:t>regionalnego może, w każdym czasie, występować do podmiotów publicznych</w:t>
            </w:r>
          </w:p>
          <w:p w14:paraId="001B6950" w14:textId="77777777" w:rsidR="00064DD5" w:rsidRPr="00957B06" w:rsidRDefault="00064DD5" w:rsidP="00064DD5">
            <w:pPr>
              <w:pStyle w:val="TableParagraph"/>
              <w:ind w:left="107"/>
            </w:pPr>
            <w:r w:rsidRPr="00957B06">
              <w:t>o przedstawienie sprawozdań dotyczących zapewnienia dostępności osobom ze</w:t>
            </w:r>
          </w:p>
          <w:p w14:paraId="410CE842" w14:textId="2D78D6B6" w:rsidR="00064DD5" w:rsidRPr="00957B06" w:rsidRDefault="00064DD5" w:rsidP="00064DD5">
            <w:pPr>
              <w:pStyle w:val="TableParagraph"/>
              <w:ind w:left="107"/>
            </w:pPr>
            <w:r w:rsidRPr="00957B06">
              <w:t xml:space="preserve">szczególnymi potrzebami w zakresie ich działalności. – obowiązek informacyjny dotyczący przedstawienia informacji o prowadzonej </w:t>
            </w:r>
            <w:r w:rsidRPr="00957B06">
              <w:lastRenderedPageBreak/>
              <w:t>działalności</w:t>
            </w:r>
          </w:p>
        </w:tc>
        <w:tc>
          <w:tcPr>
            <w:tcW w:w="1483" w:type="dxa"/>
            <w:gridSpan w:val="2"/>
          </w:tcPr>
          <w:p w14:paraId="27370F09" w14:textId="7086347D" w:rsidR="00064DD5" w:rsidRPr="00957B06" w:rsidRDefault="00064DD5">
            <w:pPr>
              <w:pStyle w:val="TableParagraph"/>
              <w:ind w:left="0"/>
              <w:rPr>
                <w:spacing w:val="-4"/>
              </w:rPr>
            </w:pPr>
            <w:r w:rsidRPr="00957B06">
              <w:rPr>
                <w:spacing w:val="-4"/>
              </w:rPr>
              <w:lastRenderedPageBreak/>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6" w:type="dxa"/>
          </w:tcPr>
          <w:p w14:paraId="064884B2" w14:textId="56155863" w:rsidR="00064DD5" w:rsidRPr="00957B06" w:rsidRDefault="00064DD5">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 Przepis nie ma charakteru zastosowania cyklicznego. Może być realizowany ad hoc.</w:t>
            </w:r>
          </w:p>
        </w:tc>
        <w:tc>
          <w:tcPr>
            <w:tcW w:w="1483" w:type="dxa"/>
          </w:tcPr>
          <w:p w14:paraId="27174B86" w14:textId="608FD110" w:rsidR="00064DD5" w:rsidRPr="00957B06" w:rsidRDefault="00064DD5">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4" w:type="dxa"/>
            <w:gridSpan w:val="2"/>
          </w:tcPr>
          <w:p w14:paraId="43B9299F" w14:textId="08543D11" w:rsidR="00064DD5" w:rsidRPr="00957B06" w:rsidRDefault="00064DD5">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3" w:type="dxa"/>
          </w:tcPr>
          <w:p w14:paraId="317E9FB7" w14:textId="22B75805" w:rsidR="00064DD5" w:rsidRPr="00957B06" w:rsidRDefault="00064DD5">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4" w:type="dxa"/>
          </w:tcPr>
          <w:p w14:paraId="61C1F8FC" w14:textId="6EB87D0C" w:rsidR="00064DD5" w:rsidRPr="00957B06" w:rsidRDefault="00064DD5">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r>
      <w:tr w:rsidR="00114637" w:rsidRPr="00957B06" w14:paraId="5D595EFC" w14:textId="77777777">
        <w:trPr>
          <w:trHeight w:val="315"/>
        </w:trPr>
        <w:tc>
          <w:tcPr>
            <w:tcW w:w="501" w:type="dxa"/>
          </w:tcPr>
          <w:p w14:paraId="0F6CCD4C" w14:textId="489DC0FD" w:rsidR="00114637" w:rsidRPr="00957B06" w:rsidRDefault="00114637" w:rsidP="00064DD5">
            <w:pPr>
              <w:pStyle w:val="TableParagraph"/>
              <w:rPr>
                <w:sz w:val="20"/>
              </w:rPr>
            </w:pPr>
            <w:r w:rsidRPr="00957B06">
              <w:rPr>
                <w:sz w:val="20"/>
              </w:rPr>
              <w:t>4</w:t>
            </w:r>
          </w:p>
        </w:tc>
        <w:tc>
          <w:tcPr>
            <w:tcW w:w="1653" w:type="dxa"/>
          </w:tcPr>
          <w:p w14:paraId="5D5F1B10" w14:textId="77777777" w:rsidR="00114637" w:rsidRPr="00957B06" w:rsidRDefault="00114637" w:rsidP="00114637">
            <w:pPr>
              <w:pStyle w:val="TableParagraph"/>
              <w:ind w:left="107"/>
            </w:pPr>
            <w:r w:rsidRPr="00957B06">
              <w:t>Zgodnie z art. 14 ust. 5 Podmiot, o którym mowa w ust. 1, publikuje na swojej stronie</w:t>
            </w:r>
          </w:p>
          <w:p w14:paraId="249E20B6" w14:textId="77777777" w:rsidR="00114637" w:rsidRPr="00957B06" w:rsidRDefault="00114637" w:rsidP="00114637">
            <w:pPr>
              <w:pStyle w:val="TableParagraph"/>
              <w:ind w:left="107"/>
            </w:pPr>
            <w:r w:rsidRPr="00957B06">
              <w:t>podmiotowej Biuletynu Informacji Publicznej, a jeżeli nie ma strony podmiotowej</w:t>
            </w:r>
          </w:p>
          <w:p w14:paraId="6159AF2C" w14:textId="77777777" w:rsidR="00114637" w:rsidRPr="00957B06" w:rsidRDefault="00114637" w:rsidP="00114637">
            <w:pPr>
              <w:pStyle w:val="TableParagraph"/>
              <w:ind w:left="107"/>
            </w:pPr>
            <w:r w:rsidRPr="00957B06">
              <w:t>Biuletynu Informacji Publicznej – na swojej stronie internetowej, dane kontaktowe</w:t>
            </w:r>
          </w:p>
          <w:p w14:paraId="48A208A5" w14:textId="77777777" w:rsidR="00114637" w:rsidRPr="00957B06" w:rsidRDefault="00114637" w:rsidP="00114637">
            <w:pPr>
              <w:pStyle w:val="TableParagraph"/>
              <w:ind w:left="107"/>
            </w:pPr>
            <w:r w:rsidRPr="00957B06">
              <w:t>koordynatora do spraw dostępności oraz treść planu działania, o którym mowa</w:t>
            </w:r>
          </w:p>
          <w:p w14:paraId="5C0C8585" w14:textId="172D621F" w:rsidR="00114637" w:rsidRPr="00957B06" w:rsidRDefault="00114637" w:rsidP="00114637">
            <w:pPr>
              <w:pStyle w:val="TableParagraph"/>
              <w:ind w:left="107"/>
            </w:pPr>
            <w:r w:rsidRPr="00957B06">
              <w:t xml:space="preserve">w ust. 2 pkt 2. – obowiązek informacyjny dotyczący powiadomienia społeczeństwa o konkretnych działaniach podejmowanych przez podmiot. </w:t>
            </w:r>
          </w:p>
        </w:tc>
        <w:tc>
          <w:tcPr>
            <w:tcW w:w="1483" w:type="dxa"/>
            <w:gridSpan w:val="2"/>
          </w:tcPr>
          <w:p w14:paraId="676B1FE6" w14:textId="7398E2F8" w:rsidR="00114637" w:rsidRPr="00957B06" w:rsidRDefault="00114637">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6" w:type="dxa"/>
          </w:tcPr>
          <w:p w14:paraId="13B39991" w14:textId="4B482892" w:rsidR="00114637" w:rsidRPr="00957B06" w:rsidRDefault="00114637">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3" w:type="dxa"/>
          </w:tcPr>
          <w:p w14:paraId="6C170F70" w14:textId="2A495935" w:rsidR="00114637" w:rsidRPr="00957B06" w:rsidRDefault="00114637">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4" w:type="dxa"/>
            <w:gridSpan w:val="2"/>
          </w:tcPr>
          <w:p w14:paraId="4BB82BA1" w14:textId="5AF01CDF" w:rsidR="00114637" w:rsidRPr="00957B06" w:rsidRDefault="00114637">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3" w:type="dxa"/>
          </w:tcPr>
          <w:p w14:paraId="736EA7B6" w14:textId="48906FF4" w:rsidR="00114637" w:rsidRPr="00957B06" w:rsidRDefault="00114637">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4" w:type="dxa"/>
          </w:tcPr>
          <w:p w14:paraId="7724E45B" w14:textId="6823AE6B" w:rsidR="00114637" w:rsidRPr="00957B06" w:rsidRDefault="00114637">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r>
      <w:tr w:rsidR="00AE4C38" w:rsidRPr="00957B06" w14:paraId="1A1EEE8A" w14:textId="77777777">
        <w:trPr>
          <w:trHeight w:val="315"/>
        </w:trPr>
        <w:tc>
          <w:tcPr>
            <w:tcW w:w="501" w:type="dxa"/>
          </w:tcPr>
          <w:p w14:paraId="5DF66F31" w14:textId="2D43FD6D" w:rsidR="00AE4C38" w:rsidRPr="00957B06" w:rsidRDefault="00114637">
            <w:pPr>
              <w:pStyle w:val="TableParagraph"/>
              <w:ind w:left="0"/>
              <w:rPr>
                <w:sz w:val="20"/>
              </w:rPr>
            </w:pPr>
            <w:r w:rsidRPr="00957B06">
              <w:rPr>
                <w:sz w:val="20"/>
              </w:rPr>
              <w:t>5</w:t>
            </w:r>
          </w:p>
        </w:tc>
        <w:tc>
          <w:tcPr>
            <w:tcW w:w="1653" w:type="dxa"/>
          </w:tcPr>
          <w:p w14:paraId="69ACA860" w14:textId="77777777" w:rsidR="00AE4C38" w:rsidRPr="00957B06" w:rsidRDefault="00AE4C38" w:rsidP="00AE4C38">
            <w:pPr>
              <w:pStyle w:val="TableParagraph"/>
              <w:ind w:left="107"/>
            </w:pPr>
            <w:r w:rsidRPr="00957B06">
              <w:t>Zgodnie z art. 17 ust. 1 Minister właściwy do spraw rozwoju regionalnego prowadzi</w:t>
            </w:r>
          </w:p>
          <w:p w14:paraId="1FC46D2D" w14:textId="77777777" w:rsidR="00AE4C38" w:rsidRPr="00957B06" w:rsidRDefault="00AE4C38" w:rsidP="00AE4C38">
            <w:pPr>
              <w:pStyle w:val="TableParagraph"/>
              <w:ind w:left="107"/>
            </w:pPr>
            <w:r w:rsidRPr="00957B06">
              <w:t>wykaz podmiotów dokonujących certyfikacji. Wykaz jest zamieszczany na stronie,</w:t>
            </w:r>
          </w:p>
          <w:p w14:paraId="4D9D2C51" w14:textId="1F8D9F9B" w:rsidR="00AE4C38" w:rsidRPr="00957B06" w:rsidRDefault="00AE4C38" w:rsidP="00AE4C38">
            <w:pPr>
              <w:pStyle w:val="TableParagraph"/>
              <w:ind w:left="107"/>
            </w:pPr>
            <w:r w:rsidRPr="00957B06">
              <w:t xml:space="preserve">o której mowa w art. 16 ust. 1 pkt 1 (strona www urzędy oraz BIP). – </w:t>
            </w:r>
            <w:r w:rsidR="00DE21EE" w:rsidRPr="00957B06">
              <w:t>obowiązek informacyjny dotyczący poinformowania społeczeństwa, po</w:t>
            </w:r>
            <w:r w:rsidR="00660046" w:rsidRPr="00957B06">
              <w:t>d</w:t>
            </w:r>
            <w:r w:rsidR="00DE21EE" w:rsidRPr="00957B06">
              <w:t xml:space="preserve">mioty zainteresowane ubieganiem się o wydanie certyfikatu </w:t>
            </w:r>
            <w:r w:rsidR="00DE21EE" w:rsidRPr="00957B06">
              <w:lastRenderedPageBreak/>
              <w:t xml:space="preserve">dostępności, jakie podmioty są akredytowane do prowadzenie postępowań i wydanie certyfikatów dostępności.  </w:t>
            </w:r>
          </w:p>
          <w:p w14:paraId="5214883C" w14:textId="14355FE8" w:rsidR="00AE4C38" w:rsidRPr="00957B06" w:rsidRDefault="00AE4C38" w:rsidP="00AE4C38">
            <w:pPr>
              <w:pStyle w:val="TableParagraph"/>
              <w:ind w:left="107"/>
            </w:pPr>
          </w:p>
        </w:tc>
        <w:tc>
          <w:tcPr>
            <w:tcW w:w="1483" w:type="dxa"/>
            <w:gridSpan w:val="2"/>
          </w:tcPr>
          <w:p w14:paraId="78BB530A" w14:textId="2B3BEA24" w:rsidR="00AE4C38" w:rsidRPr="00957B06" w:rsidRDefault="00DE21EE">
            <w:pPr>
              <w:pStyle w:val="TableParagraph"/>
              <w:ind w:left="0"/>
              <w:rPr>
                <w:spacing w:val="-4"/>
              </w:rPr>
            </w:pPr>
            <w:r w:rsidRPr="00957B06">
              <w:rPr>
                <w:spacing w:val="-4"/>
              </w:rPr>
              <w:lastRenderedPageBreak/>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6" w:type="dxa"/>
          </w:tcPr>
          <w:p w14:paraId="456DA064" w14:textId="34923707" w:rsidR="00AE4C38" w:rsidRPr="00957B06" w:rsidRDefault="00DE21EE">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3" w:type="dxa"/>
          </w:tcPr>
          <w:p w14:paraId="19AEFC9D" w14:textId="43E1B2DF" w:rsidR="00AE4C38" w:rsidRPr="00957B06" w:rsidRDefault="00DE21EE">
            <w:pPr>
              <w:pStyle w:val="TableParagraph"/>
              <w:ind w:left="0"/>
              <w:rPr>
                <w:spacing w:val="-4"/>
              </w:rPr>
            </w:pPr>
            <w:r w:rsidRPr="00957B06">
              <w:rPr>
                <w:spacing w:val="-4"/>
              </w:rPr>
              <w:t xml:space="preserve">Wykaz publikowany jest w wersji elektronicznej </w:t>
            </w:r>
          </w:p>
        </w:tc>
        <w:tc>
          <w:tcPr>
            <w:tcW w:w="1484" w:type="dxa"/>
            <w:gridSpan w:val="2"/>
          </w:tcPr>
          <w:p w14:paraId="691DD62B" w14:textId="409D6AD1" w:rsidR="00AE4C38" w:rsidRPr="00957B06" w:rsidRDefault="00DE21EE">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3" w:type="dxa"/>
          </w:tcPr>
          <w:p w14:paraId="38AE263C" w14:textId="7217BD6C" w:rsidR="00AE4C38" w:rsidRPr="00957B06" w:rsidRDefault="00DE21EE">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4" w:type="dxa"/>
          </w:tcPr>
          <w:p w14:paraId="0BFD93E2" w14:textId="3A9E6E59" w:rsidR="00AE4C38" w:rsidRPr="00957B06" w:rsidRDefault="00DE21EE">
            <w:pPr>
              <w:pStyle w:val="TableParagraph"/>
              <w:ind w:left="0"/>
              <w:rPr>
                <w:spacing w:val="-4"/>
              </w:rPr>
            </w:pPr>
            <w:r w:rsidRPr="00957B06">
              <w:rPr>
                <w:spacing w:val="-4"/>
              </w:rPr>
              <w:t>Informacje i dane podlegające dalszej publikacji pobierane są z wniosków i decyzji, na podstawie których przyznano podmiotowi status podmiotu certyfikującego.</w:t>
            </w:r>
          </w:p>
        </w:tc>
      </w:tr>
      <w:tr w:rsidR="00DE21EE" w:rsidRPr="00957B06" w14:paraId="471A46A4" w14:textId="77777777">
        <w:trPr>
          <w:trHeight w:val="315"/>
        </w:trPr>
        <w:tc>
          <w:tcPr>
            <w:tcW w:w="501" w:type="dxa"/>
          </w:tcPr>
          <w:p w14:paraId="4E017DF9" w14:textId="475563F3" w:rsidR="00DE21EE" w:rsidRPr="00957B06" w:rsidRDefault="00114637">
            <w:pPr>
              <w:pStyle w:val="TableParagraph"/>
              <w:ind w:left="0"/>
              <w:rPr>
                <w:sz w:val="20"/>
              </w:rPr>
            </w:pPr>
            <w:r w:rsidRPr="00957B06">
              <w:rPr>
                <w:sz w:val="20"/>
              </w:rPr>
              <w:t>6</w:t>
            </w:r>
          </w:p>
        </w:tc>
        <w:tc>
          <w:tcPr>
            <w:tcW w:w="1653" w:type="dxa"/>
          </w:tcPr>
          <w:p w14:paraId="1366BA70" w14:textId="77777777" w:rsidR="00EE23ED" w:rsidRPr="00957B06" w:rsidRDefault="00EE23ED" w:rsidP="00EE23ED">
            <w:pPr>
              <w:pStyle w:val="TableParagraph"/>
              <w:ind w:left="107"/>
            </w:pPr>
            <w:r w:rsidRPr="00957B06">
              <w:t>Zgodnie z art. 23 Podmiot dokonujący certyfikacji, w terminie nie dłuższym niż̇</w:t>
            </w:r>
          </w:p>
          <w:p w14:paraId="670B0B50" w14:textId="77777777" w:rsidR="00EE23ED" w:rsidRPr="00957B06" w:rsidRDefault="00EE23ED" w:rsidP="00EE23ED">
            <w:pPr>
              <w:pStyle w:val="TableParagraph"/>
              <w:ind w:left="107"/>
            </w:pPr>
            <w:r w:rsidRPr="00957B06">
              <w:t>3 miesiące od dnia złożenia kompletnego wniosku:</w:t>
            </w:r>
          </w:p>
          <w:p w14:paraId="2DBDF7D8" w14:textId="77777777" w:rsidR="00EE23ED" w:rsidRPr="00957B06" w:rsidRDefault="00EE23ED" w:rsidP="00EE23ED">
            <w:pPr>
              <w:pStyle w:val="TableParagraph"/>
              <w:ind w:left="107"/>
            </w:pPr>
            <w:r w:rsidRPr="00957B06">
              <w:t>1) w przypadku stwierdzenia, że podmiot ubiegający się o certyfikat spełnia</w:t>
            </w:r>
          </w:p>
          <w:p w14:paraId="6BD9F601" w14:textId="77777777" w:rsidR="00EE23ED" w:rsidRPr="00957B06" w:rsidRDefault="00EE23ED" w:rsidP="00EE23ED">
            <w:pPr>
              <w:pStyle w:val="TableParagraph"/>
              <w:ind w:left="107"/>
            </w:pPr>
            <w:r w:rsidRPr="00957B06">
              <w:t>minimalne wymagania, o których mowa w art. 6 – przekazuje temu</w:t>
            </w:r>
          </w:p>
          <w:p w14:paraId="23BF6AB8" w14:textId="77777777" w:rsidR="00EE23ED" w:rsidRPr="00957B06" w:rsidRDefault="00EE23ED" w:rsidP="00EE23ED">
            <w:pPr>
              <w:pStyle w:val="TableParagraph"/>
              <w:ind w:left="107"/>
            </w:pPr>
            <w:r w:rsidRPr="00957B06">
              <w:t>podmiotowi certyfikat w postaci papierowej albo</w:t>
            </w:r>
          </w:p>
          <w:p w14:paraId="016DCD1E" w14:textId="77777777" w:rsidR="00EE23ED" w:rsidRPr="00957B06" w:rsidRDefault="00EE23ED" w:rsidP="00EE23ED">
            <w:pPr>
              <w:pStyle w:val="TableParagraph"/>
              <w:ind w:left="107"/>
            </w:pPr>
            <w:r w:rsidRPr="00957B06">
              <w:t>2) zawiadamia podmiot ubiegający się o certyfikat o odmowie wydania</w:t>
            </w:r>
          </w:p>
          <w:p w14:paraId="2A4A953F" w14:textId="04CB5C2F" w:rsidR="00DE21EE" w:rsidRPr="00957B06" w:rsidRDefault="00EE23ED" w:rsidP="00EE23ED">
            <w:pPr>
              <w:pStyle w:val="TableParagraph"/>
              <w:ind w:left="107"/>
            </w:pPr>
            <w:r w:rsidRPr="00957B06">
              <w:t>certyfikatu. 0 obowiązek informacyjny związany z certyfikacją prowadzonej działalności.</w:t>
            </w:r>
          </w:p>
        </w:tc>
        <w:tc>
          <w:tcPr>
            <w:tcW w:w="1483" w:type="dxa"/>
            <w:gridSpan w:val="2"/>
          </w:tcPr>
          <w:p w14:paraId="0A4C58EC" w14:textId="28D048BE" w:rsidR="00DE21EE" w:rsidRPr="00957B06" w:rsidRDefault="00EE23ED">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6" w:type="dxa"/>
          </w:tcPr>
          <w:p w14:paraId="2DFC10B4" w14:textId="7CDB76AD" w:rsidR="00DE21EE" w:rsidRPr="00957B06" w:rsidRDefault="00EE23ED">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3" w:type="dxa"/>
          </w:tcPr>
          <w:p w14:paraId="3A19A15B" w14:textId="4739963A" w:rsidR="00DE21EE" w:rsidRPr="00957B06" w:rsidRDefault="00EE23ED">
            <w:pPr>
              <w:pStyle w:val="TableParagraph"/>
              <w:ind w:left="0"/>
              <w:rPr>
                <w:spacing w:val="-4"/>
              </w:rPr>
            </w:pPr>
            <w:r w:rsidRPr="00957B06">
              <w:rPr>
                <w:spacing w:val="-4"/>
              </w:rPr>
              <w:t xml:space="preserve">Możliwa redukcja </w:t>
            </w:r>
          </w:p>
        </w:tc>
        <w:tc>
          <w:tcPr>
            <w:tcW w:w="1484" w:type="dxa"/>
            <w:gridSpan w:val="2"/>
          </w:tcPr>
          <w:p w14:paraId="04500358" w14:textId="69C8BBCE" w:rsidR="00DE21EE" w:rsidRPr="00957B06" w:rsidRDefault="00EE23ED">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3" w:type="dxa"/>
          </w:tcPr>
          <w:p w14:paraId="0C9CEDEF" w14:textId="54D9C293" w:rsidR="00DE21EE" w:rsidRPr="00957B06" w:rsidRDefault="00EE23ED">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4" w:type="dxa"/>
          </w:tcPr>
          <w:p w14:paraId="7B60AEAE" w14:textId="410A5B17" w:rsidR="00DE21EE" w:rsidRPr="00957B06" w:rsidRDefault="00EE23ED">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r>
      <w:tr w:rsidR="00EE23ED" w:rsidRPr="00957B06" w14:paraId="03560C02" w14:textId="77777777">
        <w:trPr>
          <w:trHeight w:val="315"/>
        </w:trPr>
        <w:tc>
          <w:tcPr>
            <w:tcW w:w="501" w:type="dxa"/>
          </w:tcPr>
          <w:p w14:paraId="07989ED1" w14:textId="32E09A36" w:rsidR="00EE23ED" w:rsidRPr="00957B06" w:rsidRDefault="00114637">
            <w:pPr>
              <w:pStyle w:val="TableParagraph"/>
              <w:ind w:left="0"/>
              <w:rPr>
                <w:sz w:val="20"/>
              </w:rPr>
            </w:pPr>
            <w:r w:rsidRPr="00957B06">
              <w:rPr>
                <w:sz w:val="20"/>
              </w:rPr>
              <w:t>7</w:t>
            </w:r>
          </w:p>
        </w:tc>
        <w:tc>
          <w:tcPr>
            <w:tcW w:w="1653" w:type="dxa"/>
          </w:tcPr>
          <w:p w14:paraId="65668F83" w14:textId="20898C7D" w:rsidR="00361D50" w:rsidRPr="00957B06" w:rsidRDefault="00361D50" w:rsidP="00361D50">
            <w:pPr>
              <w:pStyle w:val="TableParagraph"/>
              <w:ind w:left="107"/>
            </w:pPr>
            <w:r w:rsidRPr="00957B06">
              <w:t>Zgodnie z art. 24 ust. 2 podmiot dokonujący certyfikacji jest obowiązany do: 2) przekazywania do ministra właściwego do spraw rozwoju regionalnego</w:t>
            </w:r>
          </w:p>
          <w:p w14:paraId="05115F91" w14:textId="7C806D42" w:rsidR="00EE23ED" w:rsidRPr="00957B06" w:rsidRDefault="00361D50" w:rsidP="00361D50">
            <w:pPr>
              <w:pStyle w:val="TableParagraph"/>
              <w:ind w:left="107"/>
            </w:pPr>
            <w:r w:rsidRPr="00957B06">
              <w:t xml:space="preserve">informacji o wydanych certyfikatach; - obowiązek informacyjny związany z </w:t>
            </w:r>
            <w:r w:rsidRPr="00957B06">
              <w:lastRenderedPageBreak/>
              <w:t>powiadomieniem o działaniach podejmowanych przez podmiot.</w:t>
            </w:r>
          </w:p>
        </w:tc>
        <w:tc>
          <w:tcPr>
            <w:tcW w:w="1483" w:type="dxa"/>
            <w:gridSpan w:val="2"/>
          </w:tcPr>
          <w:p w14:paraId="068BF487" w14:textId="53C408ED" w:rsidR="00EE23ED" w:rsidRPr="00957B06" w:rsidRDefault="00361D50">
            <w:pPr>
              <w:pStyle w:val="TableParagraph"/>
              <w:ind w:left="0"/>
              <w:rPr>
                <w:spacing w:val="-4"/>
              </w:rPr>
            </w:pPr>
            <w:r w:rsidRPr="00957B06">
              <w:rPr>
                <w:spacing w:val="-4"/>
              </w:rPr>
              <w:lastRenderedPageBreak/>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6" w:type="dxa"/>
          </w:tcPr>
          <w:p w14:paraId="42309105" w14:textId="07FD97D3" w:rsidR="00EE23ED" w:rsidRPr="00957B06" w:rsidRDefault="00D81E75">
            <w:pPr>
              <w:pStyle w:val="TableParagraph"/>
              <w:ind w:left="0"/>
              <w:rPr>
                <w:spacing w:val="-4"/>
              </w:rPr>
            </w:pPr>
            <w:r w:rsidRPr="00957B06">
              <w:rPr>
                <w:spacing w:val="-4"/>
              </w:rPr>
              <w:t>Obowiązek nie ma charakteru cyklicznego. Realizowany jest gdy zaistnieje sytuacja potrzeby realizacji obowiązku informacyjnego</w:t>
            </w:r>
          </w:p>
        </w:tc>
        <w:tc>
          <w:tcPr>
            <w:tcW w:w="1483" w:type="dxa"/>
          </w:tcPr>
          <w:p w14:paraId="75242B0F" w14:textId="2088C7BF" w:rsidR="00EE23ED" w:rsidRPr="00467BD3" w:rsidRDefault="00361D50">
            <w:pPr>
              <w:pStyle w:val="TableParagraph"/>
              <w:ind w:left="0"/>
              <w:rPr>
                <w:spacing w:val="-4"/>
              </w:rPr>
            </w:pPr>
            <w:r w:rsidRPr="00957B06">
              <w:rPr>
                <w:spacing w:val="-4"/>
              </w:rPr>
              <w:t xml:space="preserve">Informacje przekazywane są elektroniczne na dedykowaną skrzynkę mailową: </w:t>
            </w:r>
            <w:hyperlink r:id="rId20" w:history="1">
              <w:r w:rsidRPr="00467BD3">
                <w:rPr>
                  <w:rStyle w:val="Hipercze"/>
                  <w:spacing w:val="-4"/>
                </w:rPr>
                <w:t>certyfikacja.nabor@mfipr.gov.pl</w:t>
              </w:r>
            </w:hyperlink>
          </w:p>
          <w:p w14:paraId="5C384C93" w14:textId="68CBFFE0" w:rsidR="00361D50" w:rsidRPr="00957B06" w:rsidRDefault="00361D50">
            <w:pPr>
              <w:pStyle w:val="TableParagraph"/>
              <w:ind w:left="0"/>
              <w:rPr>
                <w:spacing w:val="-4"/>
              </w:rPr>
            </w:pPr>
          </w:p>
        </w:tc>
        <w:tc>
          <w:tcPr>
            <w:tcW w:w="1484" w:type="dxa"/>
            <w:gridSpan w:val="2"/>
          </w:tcPr>
          <w:p w14:paraId="76DE827C" w14:textId="6EE346C2" w:rsidR="00EE23ED" w:rsidRPr="00957B06" w:rsidRDefault="00361D50">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3" w:type="dxa"/>
          </w:tcPr>
          <w:p w14:paraId="5140BC24" w14:textId="000F751F" w:rsidR="00EE23ED" w:rsidRPr="00957B06" w:rsidRDefault="00361D50">
            <w:pPr>
              <w:pStyle w:val="TableParagraph"/>
              <w:ind w:left="0"/>
              <w:rPr>
                <w:spacing w:val="-4"/>
              </w:rPr>
            </w:pPr>
            <w:r w:rsidRPr="00957B06">
              <w:rPr>
                <w:spacing w:val="-4"/>
              </w:rPr>
              <w:t>Obowiązek informacyjny nie wymaga stosowania formularza.</w:t>
            </w:r>
          </w:p>
        </w:tc>
        <w:tc>
          <w:tcPr>
            <w:tcW w:w="1484" w:type="dxa"/>
          </w:tcPr>
          <w:p w14:paraId="3B7E9CE7" w14:textId="562CE7C3" w:rsidR="00EE23ED" w:rsidRPr="00957B06" w:rsidRDefault="00361D50">
            <w:pPr>
              <w:pStyle w:val="TableParagraph"/>
              <w:ind w:left="0"/>
              <w:rPr>
                <w:spacing w:val="-4"/>
              </w:rPr>
            </w:pPr>
            <w:r w:rsidRPr="00957B06">
              <w:rPr>
                <w:spacing w:val="-4"/>
              </w:rPr>
              <w:t xml:space="preserve">Informacje będące przedmiotem udostępnienia są w posiadaniu podmiotu certyfikującego. Nie ma potrzeby korzystania z zasobów zewnętrznych. </w:t>
            </w:r>
          </w:p>
        </w:tc>
      </w:tr>
      <w:tr w:rsidR="006E5E22" w:rsidRPr="00957B06" w14:paraId="2AB56AC5" w14:textId="77777777">
        <w:trPr>
          <w:trHeight w:val="315"/>
        </w:trPr>
        <w:tc>
          <w:tcPr>
            <w:tcW w:w="501" w:type="dxa"/>
          </w:tcPr>
          <w:p w14:paraId="671209F7" w14:textId="3837496B" w:rsidR="006E5E22" w:rsidRPr="00957B06" w:rsidRDefault="00114637">
            <w:pPr>
              <w:pStyle w:val="TableParagraph"/>
              <w:ind w:left="0"/>
              <w:rPr>
                <w:sz w:val="20"/>
              </w:rPr>
            </w:pPr>
            <w:r w:rsidRPr="00957B06">
              <w:rPr>
                <w:sz w:val="20"/>
              </w:rPr>
              <w:t>8</w:t>
            </w:r>
          </w:p>
        </w:tc>
        <w:tc>
          <w:tcPr>
            <w:tcW w:w="1653" w:type="dxa"/>
          </w:tcPr>
          <w:p w14:paraId="408D7F33" w14:textId="77777777" w:rsidR="00E22BB1" w:rsidRPr="00957B06" w:rsidRDefault="00E22BB1" w:rsidP="00E22BB1">
            <w:pPr>
              <w:pStyle w:val="TableParagraph"/>
              <w:ind w:left="107"/>
            </w:pPr>
            <w:r w:rsidRPr="00957B06">
              <w:t>Zgodnie z art. 26 ust. 2 W przypadku cofnięcia certyfikatu podmiot dokonujący certyfikacji jest</w:t>
            </w:r>
          </w:p>
          <w:p w14:paraId="0F559EE6" w14:textId="77777777" w:rsidR="00E22BB1" w:rsidRPr="00957B06" w:rsidRDefault="00E22BB1" w:rsidP="00E22BB1">
            <w:pPr>
              <w:pStyle w:val="TableParagraph"/>
              <w:ind w:left="107"/>
            </w:pPr>
            <w:r w:rsidRPr="00957B06">
              <w:t>obowiązany zawiadomić ministra właściwego do spraw rozwoju regionalnego oraz</w:t>
            </w:r>
          </w:p>
          <w:p w14:paraId="62BD8916" w14:textId="77777777" w:rsidR="00E22BB1" w:rsidRPr="00957B06" w:rsidRDefault="00E22BB1" w:rsidP="00E22BB1">
            <w:pPr>
              <w:pStyle w:val="TableParagraph"/>
              <w:ind w:left="107"/>
            </w:pPr>
            <w:r w:rsidRPr="00957B06">
              <w:t>podmiot, któremu wydano certyfikat, o cofnięciu tego certyfikatu, wskazując</w:t>
            </w:r>
          </w:p>
          <w:p w14:paraId="3A152E09" w14:textId="5608AFF7" w:rsidR="006E5E22" w:rsidRPr="00957B06" w:rsidRDefault="00E22BB1" w:rsidP="00E22BB1">
            <w:pPr>
              <w:pStyle w:val="TableParagraph"/>
              <w:ind w:left="107"/>
            </w:pPr>
            <w:r w:rsidRPr="00957B06">
              <w:t>jednocześnie uzasadnienie faktyczne i prawne.</w:t>
            </w:r>
            <w:r w:rsidR="00D81E75" w:rsidRPr="00957B06">
              <w:t xml:space="preserve"> – obowiązek informacyjny związany z powiadomieniem o działaniach podejmowanych przez podmiot.</w:t>
            </w:r>
          </w:p>
        </w:tc>
        <w:tc>
          <w:tcPr>
            <w:tcW w:w="1483" w:type="dxa"/>
            <w:gridSpan w:val="2"/>
          </w:tcPr>
          <w:p w14:paraId="5993D8EC" w14:textId="410090CD" w:rsidR="006E5E22" w:rsidRPr="00957B06" w:rsidRDefault="00D81E75">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6" w:type="dxa"/>
          </w:tcPr>
          <w:p w14:paraId="17F5C4C8" w14:textId="7C6CB22E" w:rsidR="006E5E22" w:rsidRPr="00957B06" w:rsidRDefault="00D81E75">
            <w:pPr>
              <w:pStyle w:val="TableParagraph"/>
              <w:ind w:left="0"/>
              <w:rPr>
                <w:spacing w:val="-4"/>
              </w:rPr>
            </w:pPr>
            <w:r w:rsidRPr="00957B06">
              <w:rPr>
                <w:spacing w:val="-4"/>
              </w:rPr>
              <w:t xml:space="preserve">Obowiązek nie ma charakteru cyklicznego. Realizowany jest gdy zaistnieje sytuacja potrzeby realizacji obowiązku informacyjnego. </w:t>
            </w:r>
          </w:p>
        </w:tc>
        <w:tc>
          <w:tcPr>
            <w:tcW w:w="1483" w:type="dxa"/>
          </w:tcPr>
          <w:p w14:paraId="4A8AE77A" w14:textId="5E92E5A6" w:rsidR="006E5E22" w:rsidRPr="00957B06" w:rsidRDefault="00D81E75">
            <w:pPr>
              <w:pStyle w:val="TableParagraph"/>
              <w:ind w:left="0"/>
              <w:rPr>
                <w:spacing w:val="-4"/>
              </w:rPr>
            </w:pPr>
            <w:r w:rsidRPr="00957B06">
              <w:rPr>
                <w:spacing w:val="-4"/>
              </w:rPr>
              <w:t>Ustawa nie reguluje sposobu przekazania obowiązku informacyjnego.</w:t>
            </w:r>
          </w:p>
        </w:tc>
        <w:tc>
          <w:tcPr>
            <w:tcW w:w="1484" w:type="dxa"/>
            <w:gridSpan w:val="2"/>
          </w:tcPr>
          <w:p w14:paraId="4DDEFD59" w14:textId="4F60DE5F" w:rsidR="006E5E22" w:rsidRPr="00957B06" w:rsidRDefault="00D81E75">
            <w:pPr>
              <w:pStyle w:val="TableParagraph"/>
              <w:ind w:left="0"/>
              <w:rPr>
                <w:b/>
                <w:bCs/>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3" w:type="dxa"/>
          </w:tcPr>
          <w:p w14:paraId="7EAA2ADA" w14:textId="369AA6E2" w:rsidR="006E5E22" w:rsidRPr="00957B06" w:rsidRDefault="00D81E75">
            <w:pPr>
              <w:pStyle w:val="TableParagraph"/>
              <w:ind w:left="0"/>
              <w:rPr>
                <w:spacing w:val="-4"/>
              </w:rPr>
            </w:pPr>
            <w:r w:rsidRPr="00957B06">
              <w:rPr>
                <w:spacing w:val="-4"/>
              </w:rPr>
              <w:t>Obowiązek informacyjny nie wymaga stosowania formularza.</w:t>
            </w:r>
          </w:p>
        </w:tc>
        <w:tc>
          <w:tcPr>
            <w:tcW w:w="1484" w:type="dxa"/>
          </w:tcPr>
          <w:p w14:paraId="613AE022" w14:textId="4B7EFCDC" w:rsidR="006E5E22" w:rsidRPr="00957B06" w:rsidRDefault="00D81E75">
            <w:pPr>
              <w:pStyle w:val="TableParagraph"/>
              <w:ind w:left="0"/>
              <w:rPr>
                <w:spacing w:val="-4"/>
              </w:rPr>
            </w:pPr>
            <w:r w:rsidRPr="00957B06">
              <w:rPr>
                <w:spacing w:val="-4"/>
              </w:rPr>
              <w:t>Informacje będące przedmiotem udostępnienia są w posiadaniu podmiotu certyfikującego. Nie ma potrzeby korzystania z zasobów zewnętrznych.</w:t>
            </w:r>
          </w:p>
        </w:tc>
      </w:tr>
      <w:tr w:rsidR="00EA7632" w:rsidRPr="00957B06" w14:paraId="64C26A0D" w14:textId="77777777">
        <w:trPr>
          <w:trHeight w:val="315"/>
        </w:trPr>
        <w:tc>
          <w:tcPr>
            <w:tcW w:w="501" w:type="dxa"/>
          </w:tcPr>
          <w:p w14:paraId="71FD3D6B" w14:textId="10C13C6E" w:rsidR="00EA7632" w:rsidRPr="00957B06" w:rsidRDefault="00064DD5">
            <w:pPr>
              <w:pStyle w:val="TableParagraph"/>
              <w:ind w:left="0"/>
              <w:rPr>
                <w:sz w:val="20"/>
              </w:rPr>
            </w:pPr>
            <w:r w:rsidRPr="00957B06">
              <w:rPr>
                <w:sz w:val="20"/>
              </w:rPr>
              <w:t>8</w:t>
            </w:r>
          </w:p>
        </w:tc>
        <w:tc>
          <w:tcPr>
            <w:tcW w:w="1653" w:type="dxa"/>
          </w:tcPr>
          <w:p w14:paraId="71218370" w14:textId="77777777" w:rsidR="00EC4AD8" w:rsidRPr="00957B06" w:rsidRDefault="00EC4AD8" w:rsidP="00EC4AD8">
            <w:pPr>
              <w:pStyle w:val="TableParagraph"/>
              <w:ind w:left="107"/>
            </w:pPr>
            <w:r w:rsidRPr="00957B06">
              <w:t>Zgodnie z art. 28 ust. 1 Minister właściwy do spraw rozwoju regionalnego podaje do</w:t>
            </w:r>
          </w:p>
          <w:p w14:paraId="2DBC491D" w14:textId="77777777" w:rsidR="00EC4AD8" w:rsidRPr="00957B06" w:rsidRDefault="00EC4AD8" w:rsidP="00EC4AD8">
            <w:pPr>
              <w:pStyle w:val="TableParagraph"/>
              <w:ind w:left="107"/>
            </w:pPr>
            <w:r w:rsidRPr="00957B06">
              <w:t>publicznej wiadomości, na swojej stronie podmiotowej Biuletynu Informacji</w:t>
            </w:r>
          </w:p>
          <w:p w14:paraId="1B2A37EC" w14:textId="650354ED" w:rsidR="00EA7632" w:rsidRPr="00957B06" w:rsidRDefault="00EC4AD8" w:rsidP="00EC4AD8">
            <w:pPr>
              <w:pStyle w:val="TableParagraph"/>
              <w:ind w:left="107"/>
            </w:pPr>
            <w:r w:rsidRPr="00957B06">
              <w:t xml:space="preserve">Publicznej, informacje o podmiotach, którym został wydany certyfikat. - obowiązek informacyjny dotyczący poinformowania społeczeństwa o podmiotach, którym wydane zostały certyfikaty </w:t>
            </w:r>
            <w:r w:rsidRPr="00957B06">
              <w:lastRenderedPageBreak/>
              <w:t xml:space="preserve">dostępności. </w:t>
            </w:r>
          </w:p>
        </w:tc>
        <w:tc>
          <w:tcPr>
            <w:tcW w:w="1483" w:type="dxa"/>
            <w:gridSpan w:val="2"/>
          </w:tcPr>
          <w:p w14:paraId="3DB00A90" w14:textId="7C59931D" w:rsidR="00EA7632" w:rsidRPr="00957B06" w:rsidRDefault="00EC4AD8">
            <w:pPr>
              <w:pStyle w:val="TableParagraph"/>
              <w:ind w:left="0"/>
              <w:rPr>
                <w:spacing w:val="-4"/>
              </w:rPr>
            </w:pPr>
            <w:r w:rsidRPr="00957B06">
              <w:rPr>
                <w:spacing w:val="-4"/>
              </w:rPr>
              <w:lastRenderedPageBreak/>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6" w:type="dxa"/>
          </w:tcPr>
          <w:p w14:paraId="25920823" w14:textId="136DCB6E" w:rsidR="00EA7632" w:rsidRPr="00957B06" w:rsidRDefault="00EC4AD8">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3" w:type="dxa"/>
          </w:tcPr>
          <w:p w14:paraId="6E4EE7AD" w14:textId="7271CBEF" w:rsidR="00EA7632" w:rsidRPr="00957B06" w:rsidRDefault="00EC4AD8">
            <w:pPr>
              <w:pStyle w:val="TableParagraph"/>
              <w:ind w:left="0"/>
              <w:rPr>
                <w:spacing w:val="-4"/>
              </w:rPr>
            </w:pPr>
            <w:r w:rsidRPr="00957B06">
              <w:rPr>
                <w:spacing w:val="-4"/>
              </w:rPr>
              <w:t xml:space="preserve">Informacje publikowane są w wersji elektronicznej. </w:t>
            </w:r>
          </w:p>
        </w:tc>
        <w:tc>
          <w:tcPr>
            <w:tcW w:w="1484" w:type="dxa"/>
            <w:gridSpan w:val="2"/>
          </w:tcPr>
          <w:p w14:paraId="641AC431" w14:textId="12A991FA" w:rsidR="00EA7632" w:rsidRPr="00957B06" w:rsidRDefault="00EC4AD8">
            <w:pPr>
              <w:pStyle w:val="TableParagraph"/>
              <w:ind w:left="0"/>
              <w:rPr>
                <w:spacing w:val="-4"/>
              </w:rPr>
            </w:pPr>
            <w:r w:rsidRPr="00957B06">
              <w:rPr>
                <w:spacing w:val="-4"/>
              </w:rPr>
              <w:t xml:space="preserve">Brak </w:t>
            </w:r>
            <w:r w:rsidRPr="00957B06">
              <w:rPr>
                <w:spacing w:val="-2"/>
              </w:rPr>
              <w:t xml:space="preserve">możliwości </w:t>
            </w:r>
            <w:r w:rsidRPr="00957B06">
              <w:t>redukcji</w:t>
            </w:r>
            <w:r w:rsidRPr="00957B06">
              <w:rPr>
                <w:spacing w:val="-8"/>
              </w:rPr>
              <w:t xml:space="preserve"> </w:t>
            </w:r>
            <w:r w:rsidRPr="00957B06">
              <w:rPr>
                <w:spacing w:val="-5"/>
              </w:rPr>
              <w:t>OI</w:t>
            </w:r>
          </w:p>
        </w:tc>
        <w:tc>
          <w:tcPr>
            <w:tcW w:w="1483" w:type="dxa"/>
          </w:tcPr>
          <w:p w14:paraId="71E57ED0" w14:textId="79CE12E5" w:rsidR="00EA7632" w:rsidRPr="00957B06" w:rsidRDefault="00EC4AD8">
            <w:pPr>
              <w:pStyle w:val="TableParagraph"/>
              <w:ind w:left="0"/>
              <w:rPr>
                <w:spacing w:val="-4"/>
              </w:rPr>
            </w:pPr>
            <w:r w:rsidRPr="00957B06">
              <w:rPr>
                <w:spacing w:val="-4"/>
              </w:rPr>
              <w:t>Obowiązek informacyjny nie wymaga stosowania formularza.</w:t>
            </w:r>
          </w:p>
        </w:tc>
        <w:tc>
          <w:tcPr>
            <w:tcW w:w="1484" w:type="dxa"/>
          </w:tcPr>
          <w:p w14:paraId="0C3EEACD" w14:textId="43A0C26B" w:rsidR="00EA7632" w:rsidRPr="00957B06" w:rsidRDefault="00EC4AD8">
            <w:pPr>
              <w:pStyle w:val="TableParagraph"/>
              <w:ind w:left="0"/>
              <w:rPr>
                <w:spacing w:val="-4"/>
              </w:rPr>
            </w:pPr>
            <w:r w:rsidRPr="00957B06">
              <w:rPr>
                <w:spacing w:val="-4"/>
              </w:rPr>
              <w:t>Informacje będące przedmiotem udostępnienia są w posiadaniu urzędu. Nie ma potrzeby korzystania z zasobów zewnętrznych.</w:t>
            </w:r>
          </w:p>
        </w:tc>
      </w:tr>
      <w:tr w:rsidR="00A801E3" w:rsidRPr="00957B06" w14:paraId="55AFDF8E" w14:textId="77777777">
        <w:trPr>
          <w:trHeight w:val="315"/>
        </w:trPr>
        <w:tc>
          <w:tcPr>
            <w:tcW w:w="501" w:type="dxa"/>
          </w:tcPr>
          <w:p w14:paraId="7C234110" w14:textId="26E4A0CB" w:rsidR="00A801E3" w:rsidRPr="00957B06" w:rsidRDefault="00114637">
            <w:pPr>
              <w:pStyle w:val="TableParagraph"/>
              <w:ind w:left="0"/>
              <w:rPr>
                <w:sz w:val="20"/>
              </w:rPr>
            </w:pPr>
            <w:r w:rsidRPr="00957B06">
              <w:rPr>
                <w:sz w:val="20"/>
              </w:rPr>
              <w:t>9</w:t>
            </w:r>
          </w:p>
        </w:tc>
        <w:tc>
          <w:tcPr>
            <w:tcW w:w="1653" w:type="dxa"/>
          </w:tcPr>
          <w:p w14:paraId="4C78F63C" w14:textId="77777777" w:rsidR="00114637" w:rsidRPr="00957B06" w:rsidRDefault="00114637" w:rsidP="00114637">
            <w:pPr>
              <w:pStyle w:val="TableParagraph"/>
              <w:ind w:left="107"/>
            </w:pPr>
            <w:r w:rsidRPr="00957B06">
              <w:t>Zgodnie z art. 56 ust. 3 Właściwy minister, na wniosek ministra właściwego do spraw rozwoju</w:t>
            </w:r>
          </w:p>
          <w:p w14:paraId="578B4A04" w14:textId="77777777" w:rsidR="00114637" w:rsidRPr="00957B06" w:rsidRDefault="00114637" w:rsidP="00114637">
            <w:pPr>
              <w:pStyle w:val="TableParagraph"/>
              <w:ind w:left="107"/>
            </w:pPr>
            <w:r w:rsidRPr="00957B06">
              <w:t>regionalnego, w terminie 12 miesięcy od dnia otrzymania wniosku, przedstawia</w:t>
            </w:r>
          </w:p>
          <w:p w14:paraId="15A35CB7" w14:textId="77777777" w:rsidR="00114637" w:rsidRPr="00957B06" w:rsidRDefault="00114637" w:rsidP="00114637">
            <w:pPr>
              <w:pStyle w:val="TableParagraph"/>
              <w:ind w:left="107"/>
            </w:pPr>
            <w:r w:rsidRPr="00957B06">
              <w:t>Radzie Ministrów informację o planowanych działaniach w zakresie określonym</w:t>
            </w:r>
          </w:p>
          <w:p w14:paraId="6F83F3BA" w14:textId="39B105A4" w:rsidR="00A801E3" w:rsidRPr="00957B06" w:rsidRDefault="00114637" w:rsidP="00114637">
            <w:pPr>
              <w:pStyle w:val="TableParagraph"/>
              <w:ind w:left="107"/>
            </w:pPr>
            <w:r w:rsidRPr="00957B06">
              <w:t xml:space="preserve">we wniosku, uwzględniającym rekomendacje, o których mowa w ust. 2. – obowiązek informacyjny dotyczący przeglądu prawa i planowanych działań w zakresie zmian prawnych na rzecz dostępności. </w:t>
            </w:r>
          </w:p>
        </w:tc>
        <w:tc>
          <w:tcPr>
            <w:tcW w:w="1483" w:type="dxa"/>
            <w:gridSpan w:val="2"/>
          </w:tcPr>
          <w:p w14:paraId="342A1C95" w14:textId="1A08B31C" w:rsidR="00A801E3" w:rsidRPr="00957B06" w:rsidRDefault="00114637">
            <w:pPr>
              <w:pStyle w:val="TableParagraph"/>
              <w:ind w:left="0"/>
              <w:rPr>
                <w:spacing w:val="-4"/>
              </w:rPr>
            </w:pPr>
            <w:r w:rsidRPr="00957B06">
              <w:rPr>
                <w:spacing w:val="-4"/>
              </w:rPr>
              <w:t>Możliwe uchylenie</w:t>
            </w:r>
          </w:p>
        </w:tc>
        <w:tc>
          <w:tcPr>
            <w:tcW w:w="1486" w:type="dxa"/>
          </w:tcPr>
          <w:p w14:paraId="4E975D44" w14:textId="5FB76A7A" w:rsidR="00A801E3" w:rsidRPr="00957B06" w:rsidRDefault="00114637">
            <w:pPr>
              <w:pStyle w:val="TableParagraph"/>
              <w:ind w:left="0"/>
              <w:rPr>
                <w:spacing w:val="-4"/>
              </w:rPr>
            </w:pPr>
            <w:r w:rsidRPr="00957B06">
              <w:rPr>
                <w:spacing w:val="-4"/>
              </w:rPr>
              <w:t>Rezygnacja z obowiązku informacyjnego</w:t>
            </w:r>
          </w:p>
        </w:tc>
        <w:tc>
          <w:tcPr>
            <w:tcW w:w="1483" w:type="dxa"/>
          </w:tcPr>
          <w:p w14:paraId="1FE1CB14" w14:textId="348742C1" w:rsidR="00A801E3" w:rsidRPr="00957B06" w:rsidRDefault="00114637">
            <w:pPr>
              <w:pStyle w:val="TableParagraph"/>
              <w:ind w:left="0"/>
              <w:rPr>
                <w:spacing w:val="-4"/>
              </w:rPr>
            </w:pPr>
            <w:r w:rsidRPr="00957B06">
              <w:rPr>
                <w:spacing w:val="-4"/>
              </w:rPr>
              <w:t>Rezygnacja z obowiązku informacyjnego</w:t>
            </w:r>
          </w:p>
        </w:tc>
        <w:tc>
          <w:tcPr>
            <w:tcW w:w="1484" w:type="dxa"/>
            <w:gridSpan w:val="2"/>
          </w:tcPr>
          <w:p w14:paraId="34387BC8" w14:textId="4418C3D9" w:rsidR="00A801E3" w:rsidRPr="00957B06" w:rsidRDefault="00114637">
            <w:pPr>
              <w:pStyle w:val="TableParagraph"/>
              <w:ind w:left="0"/>
              <w:rPr>
                <w:spacing w:val="-4"/>
              </w:rPr>
            </w:pPr>
            <w:r w:rsidRPr="00957B06">
              <w:rPr>
                <w:spacing w:val="-4"/>
              </w:rPr>
              <w:t>Rezygnacja z obowiązku informacyjnego</w:t>
            </w:r>
          </w:p>
        </w:tc>
        <w:tc>
          <w:tcPr>
            <w:tcW w:w="1483" w:type="dxa"/>
          </w:tcPr>
          <w:p w14:paraId="75F1865D" w14:textId="051E3E97" w:rsidR="00A801E3" w:rsidRPr="00957B06" w:rsidRDefault="00114637">
            <w:pPr>
              <w:pStyle w:val="TableParagraph"/>
              <w:ind w:left="0"/>
              <w:rPr>
                <w:spacing w:val="-4"/>
              </w:rPr>
            </w:pPr>
            <w:r w:rsidRPr="00957B06">
              <w:rPr>
                <w:spacing w:val="-4"/>
              </w:rPr>
              <w:t>Rezygnacja z obowiązku informacyjnego</w:t>
            </w:r>
          </w:p>
        </w:tc>
        <w:tc>
          <w:tcPr>
            <w:tcW w:w="1484" w:type="dxa"/>
          </w:tcPr>
          <w:p w14:paraId="4DBC8E67" w14:textId="7453E9C3" w:rsidR="00A801E3" w:rsidRPr="00957B06" w:rsidRDefault="00114637">
            <w:pPr>
              <w:pStyle w:val="TableParagraph"/>
              <w:ind w:left="0"/>
              <w:rPr>
                <w:spacing w:val="-4"/>
              </w:rPr>
            </w:pPr>
            <w:r w:rsidRPr="00957B06">
              <w:rPr>
                <w:spacing w:val="-4"/>
              </w:rPr>
              <w:t>Rezygnacja z obowiązku informacyjnego</w:t>
            </w:r>
          </w:p>
        </w:tc>
      </w:tr>
      <w:tr w:rsidR="009C15F8" w:rsidRPr="00957B06" w14:paraId="3612F045" w14:textId="77777777">
        <w:trPr>
          <w:trHeight w:val="372"/>
        </w:trPr>
        <w:tc>
          <w:tcPr>
            <w:tcW w:w="11057" w:type="dxa"/>
            <w:gridSpan w:val="10"/>
            <w:shd w:val="clear" w:color="auto" w:fill="53A824"/>
          </w:tcPr>
          <w:p w14:paraId="292CC875" w14:textId="77777777" w:rsidR="009C15F8" w:rsidRPr="00957B06" w:rsidRDefault="00E06656">
            <w:pPr>
              <w:pStyle w:val="TableParagraph"/>
              <w:spacing w:before="60"/>
              <w:ind w:left="141"/>
              <w:rPr>
                <w:b/>
              </w:rPr>
            </w:pPr>
            <w:r w:rsidRPr="00957B06">
              <w:rPr>
                <w:b/>
              </w:rPr>
              <w:t>8.</w:t>
            </w:r>
            <w:r w:rsidRPr="00957B06">
              <w:rPr>
                <w:b/>
                <w:spacing w:val="56"/>
              </w:rPr>
              <w:t xml:space="preserve"> </w:t>
            </w:r>
            <w:r w:rsidRPr="00957B06">
              <w:rPr>
                <w:b/>
              </w:rPr>
              <w:t>Opinie</w:t>
            </w:r>
            <w:r w:rsidRPr="00957B06">
              <w:rPr>
                <w:b/>
                <w:spacing w:val="-3"/>
              </w:rPr>
              <w:t xml:space="preserve"> </w:t>
            </w:r>
            <w:r w:rsidRPr="00957B06">
              <w:rPr>
                <w:b/>
              </w:rPr>
              <w:t>zgłaszane</w:t>
            </w:r>
            <w:r w:rsidRPr="00957B06">
              <w:rPr>
                <w:b/>
                <w:spacing w:val="-3"/>
              </w:rPr>
              <w:t xml:space="preserve"> </w:t>
            </w:r>
            <w:r w:rsidRPr="00957B06">
              <w:rPr>
                <w:b/>
              </w:rPr>
              <w:t>w</w:t>
            </w:r>
            <w:r w:rsidRPr="00957B06">
              <w:rPr>
                <w:b/>
                <w:spacing w:val="-3"/>
              </w:rPr>
              <w:t xml:space="preserve"> </w:t>
            </w:r>
            <w:r w:rsidRPr="00957B06">
              <w:rPr>
                <w:b/>
              </w:rPr>
              <w:t>związku</w:t>
            </w:r>
            <w:r w:rsidRPr="00957B06">
              <w:rPr>
                <w:b/>
                <w:spacing w:val="-4"/>
              </w:rPr>
              <w:t xml:space="preserve"> </w:t>
            </w:r>
            <w:r w:rsidRPr="00957B06">
              <w:rPr>
                <w:b/>
              </w:rPr>
              <w:t>z</w:t>
            </w:r>
            <w:r w:rsidRPr="00957B06">
              <w:rPr>
                <w:b/>
                <w:spacing w:val="-3"/>
              </w:rPr>
              <w:t xml:space="preserve"> </w:t>
            </w:r>
            <w:r w:rsidRPr="00957B06">
              <w:rPr>
                <w:b/>
              </w:rPr>
              <w:t>funkcjonowaniem</w:t>
            </w:r>
            <w:r w:rsidRPr="00957B06">
              <w:rPr>
                <w:b/>
                <w:spacing w:val="1"/>
              </w:rPr>
              <w:t xml:space="preserve"> </w:t>
            </w:r>
            <w:r w:rsidRPr="00957B06">
              <w:rPr>
                <w:b/>
                <w:spacing w:val="-2"/>
              </w:rPr>
              <w:t>ustawy</w:t>
            </w:r>
          </w:p>
        </w:tc>
      </w:tr>
      <w:tr w:rsidR="009C15F8" w:rsidRPr="00957B06" w14:paraId="5D62351B" w14:textId="77777777">
        <w:trPr>
          <w:trHeight w:val="478"/>
        </w:trPr>
        <w:tc>
          <w:tcPr>
            <w:tcW w:w="501" w:type="dxa"/>
          </w:tcPr>
          <w:p w14:paraId="0F9850A6" w14:textId="77777777" w:rsidR="009C15F8" w:rsidRPr="00957B06" w:rsidRDefault="00E06656">
            <w:pPr>
              <w:pStyle w:val="TableParagraph"/>
              <w:spacing w:before="120"/>
              <w:ind w:left="135"/>
              <w:rPr>
                <w:sz w:val="18"/>
              </w:rPr>
            </w:pPr>
            <w:r w:rsidRPr="00957B06">
              <w:rPr>
                <w:spacing w:val="-4"/>
                <w:sz w:val="18"/>
              </w:rPr>
              <w:t>l.p.</w:t>
            </w:r>
          </w:p>
        </w:tc>
        <w:tc>
          <w:tcPr>
            <w:tcW w:w="2970" w:type="dxa"/>
            <w:gridSpan w:val="2"/>
          </w:tcPr>
          <w:p w14:paraId="615AB204" w14:textId="77777777" w:rsidR="009C15F8" w:rsidRPr="00957B06" w:rsidRDefault="00E06656">
            <w:pPr>
              <w:pStyle w:val="TableParagraph"/>
              <w:spacing w:before="120"/>
              <w:ind w:left="170"/>
              <w:rPr>
                <w:sz w:val="18"/>
              </w:rPr>
            </w:pPr>
            <w:r w:rsidRPr="00957B06">
              <w:rPr>
                <w:sz w:val="18"/>
              </w:rPr>
              <w:t>Podmiot</w:t>
            </w:r>
            <w:r w:rsidRPr="00957B06">
              <w:rPr>
                <w:spacing w:val="-4"/>
                <w:sz w:val="18"/>
              </w:rPr>
              <w:t xml:space="preserve"> </w:t>
            </w:r>
            <w:r w:rsidRPr="00957B06">
              <w:rPr>
                <w:sz w:val="18"/>
              </w:rPr>
              <w:t>zgłaszający</w:t>
            </w:r>
            <w:r w:rsidRPr="00957B06">
              <w:rPr>
                <w:spacing w:val="-3"/>
                <w:sz w:val="18"/>
              </w:rPr>
              <w:t xml:space="preserve"> </w:t>
            </w:r>
            <w:r w:rsidRPr="00957B06">
              <w:rPr>
                <w:spacing w:val="-2"/>
                <w:sz w:val="18"/>
              </w:rPr>
              <w:t>opinię/problem</w:t>
            </w:r>
          </w:p>
        </w:tc>
        <w:tc>
          <w:tcPr>
            <w:tcW w:w="3520" w:type="dxa"/>
            <w:gridSpan w:val="4"/>
          </w:tcPr>
          <w:p w14:paraId="6F6C28C1" w14:textId="77777777" w:rsidR="009C15F8" w:rsidRPr="00957B06" w:rsidRDefault="00E06656">
            <w:pPr>
              <w:pStyle w:val="TableParagraph"/>
              <w:spacing w:before="120"/>
              <w:ind w:left="9"/>
              <w:jc w:val="center"/>
              <w:rPr>
                <w:sz w:val="18"/>
              </w:rPr>
            </w:pPr>
            <w:r w:rsidRPr="00957B06">
              <w:rPr>
                <w:spacing w:val="-4"/>
                <w:sz w:val="18"/>
              </w:rPr>
              <w:t>Opis</w:t>
            </w:r>
          </w:p>
        </w:tc>
        <w:tc>
          <w:tcPr>
            <w:tcW w:w="4066" w:type="dxa"/>
            <w:gridSpan w:val="3"/>
          </w:tcPr>
          <w:p w14:paraId="23646422" w14:textId="77777777" w:rsidR="009C15F8" w:rsidRPr="00957B06" w:rsidRDefault="00E06656">
            <w:pPr>
              <w:pStyle w:val="TableParagraph"/>
              <w:spacing w:before="120"/>
              <w:ind w:left="700"/>
              <w:rPr>
                <w:sz w:val="18"/>
              </w:rPr>
            </w:pPr>
            <w:r w:rsidRPr="00957B06">
              <w:rPr>
                <w:sz w:val="18"/>
              </w:rPr>
              <w:t>Stanowisko</w:t>
            </w:r>
            <w:r w:rsidRPr="00957B06">
              <w:rPr>
                <w:spacing w:val="-2"/>
                <w:sz w:val="18"/>
              </w:rPr>
              <w:t xml:space="preserve"> </w:t>
            </w:r>
            <w:r w:rsidRPr="00957B06">
              <w:rPr>
                <w:sz w:val="18"/>
              </w:rPr>
              <w:t>członka</w:t>
            </w:r>
            <w:r w:rsidRPr="00957B06">
              <w:rPr>
                <w:spacing w:val="-2"/>
                <w:sz w:val="18"/>
              </w:rPr>
              <w:t xml:space="preserve"> </w:t>
            </w:r>
            <w:r w:rsidRPr="00957B06">
              <w:rPr>
                <w:sz w:val="18"/>
              </w:rPr>
              <w:t>Rady</w:t>
            </w:r>
            <w:r w:rsidRPr="00957B06">
              <w:rPr>
                <w:spacing w:val="-2"/>
                <w:sz w:val="18"/>
              </w:rPr>
              <w:t xml:space="preserve"> Ministrów</w:t>
            </w:r>
          </w:p>
        </w:tc>
      </w:tr>
      <w:tr w:rsidR="00353177" w:rsidRPr="00957B06" w14:paraId="130C13D6" w14:textId="77777777" w:rsidTr="009E0350">
        <w:trPr>
          <w:trHeight w:val="6509"/>
        </w:trPr>
        <w:tc>
          <w:tcPr>
            <w:tcW w:w="501" w:type="dxa"/>
          </w:tcPr>
          <w:p w14:paraId="4B4ABB88" w14:textId="77777777" w:rsidR="00353177" w:rsidRPr="00957B06" w:rsidRDefault="00353177" w:rsidP="00353177">
            <w:pPr>
              <w:pStyle w:val="TableParagraph"/>
            </w:pPr>
          </w:p>
          <w:p w14:paraId="3344C8F5" w14:textId="77777777" w:rsidR="00353177" w:rsidRPr="00957B06" w:rsidRDefault="00353177" w:rsidP="00353177">
            <w:pPr>
              <w:pStyle w:val="TableParagraph"/>
            </w:pPr>
          </w:p>
          <w:p w14:paraId="16269FF0" w14:textId="77777777" w:rsidR="00353177" w:rsidRPr="00957B06" w:rsidRDefault="00353177" w:rsidP="00353177">
            <w:pPr>
              <w:pStyle w:val="TableParagraph"/>
            </w:pPr>
          </w:p>
          <w:p w14:paraId="42213240" w14:textId="77777777" w:rsidR="00353177" w:rsidRPr="00957B06" w:rsidRDefault="00353177" w:rsidP="00353177">
            <w:pPr>
              <w:pStyle w:val="TableParagraph"/>
            </w:pPr>
          </w:p>
          <w:p w14:paraId="04BDBE99" w14:textId="77777777" w:rsidR="00353177" w:rsidRPr="00957B06" w:rsidRDefault="00353177" w:rsidP="00353177">
            <w:pPr>
              <w:pStyle w:val="TableParagraph"/>
            </w:pPr>
          </w:p>
          <w:p w14:paraId="513DBB16" w14:textId="77777777" w:rsidR="00353177" w:rsidRPr="00957B06" w:rsidRDefault="00353177" w:rsidP="00353177">
            <w:pPr>
              <w:pStyle w:val="TableParagraph"/>
            </w:pPr>
          </w:p>
          <w:p w14:paraId="37D27842" w14:textId="77777777" w:rsidR="00353177" w:rsidRPr="00957B06" w:rsidRDefault="00353177" w:rsidP="00353177">
            <w:pPr>
              <w:pStyle w:val="TableParagraph"/>
            </w:pPr>
          </w:p>
          <w:p w14:paraId="0F83598D" w14:textId="77777777" w:rsidR="00353177" w:rsidRPr="00957B06" w:rsidRDefault="00353177" w:rsidP="00353177">
            <w:pPr>
              <w:pStyle w:val="TableParagraph"/>
            </w:pPr>
          </w:p>
          <w:p w14:paraId="0BFE6FD6" w14:textId="77777777" w:rsidR="00353177" w:rsidRPr="00957B06" w:rsidRDefault="00353177" w:rsidP="00353177">
            <w:pPr>
              <w:pStyle w:val="TableParagraph"/>
            </w:pPr>
          </w:p>
          <w:p w14:paraId="36348CA7" w14:textId="77777777" w:rsidR="00353177" w:rsidRPr="00957B06" w:rsidRDefault="00353177" w:rsidP="00353177">
            <w:pPr>
              <w:pStyle w:val="TableParagraph"/>
            </w:pPr>
          </w:p>
          <w:p w14:paraId="61934902" w14:textId="77777777" w:rsidR="00353177" w:rsidRPr="00957B06" w:rsidRDefault="00353177" w:rsidP="00353177">
            <w:pPr>
              <w:pStyle w:val="TableParagraph"/>
            </w:pPr>
          </w:p>
          <w:p w14:paraId="32CBEEB6" w14:textId="77777777" w:rsidR="00353177" w:rsidRPr="00957B06" w:rsidRDefault="00353177" w:rsidP="00353177">
            <w:pPr>
              <w:pStyle w:val="TableParagraph"/>
            </w:pPr>
          </w:p>
          <w:p w14:paraId="6EF0B828" w14:textId="77777777" w:rsidR="00353177" w:rsidRPr="00957B06" w:rsidRDefault="00353177" w:rsidP="00353177">
            <w:pPr>
              <w:pStyle w:val="TableParagraph"/>
            </w:pPr>
          </w:p>
          <w:p w14:paraId="5DB87AC0" w14:textId="77777777" w:rsidR="00353177" w:rsidRPr="00957B06" w:rsidRDefault="00353177" w:rsidP="00353177">
            <w:pPr>
              <w:pStyle w:val="TableParagraph"/>
            </w:pPr>
          </w:p>
          <w:p w14:paraId="7552D930" w14:textId="77777777" w:rsidR="00353177" w:rsidRPr="00957B06" w:rsidRDefault="00353177" w:rsidP="00353177">
            <w:pPr>
              <w:pStyle w:val="TableParagraph"/>
            </w:pPr>
          </w:p>
          <w:p w14:paraId="1E6D45A3" w14:textId="77777777" w:rsidR="00353177" w:rsidRPr="00957B06" w:rsidRDefault="00353177" w:rsidP="00353177">
            <w:pPr>
              <w:pStyle w:val="TableParagraph"/>
            </w:pPr>
          </w:p>
          <w:p w14:paraId="07FD2400" w14:textId="77777777" w:rsidR="00353177" w:rsidRPr="00957B06" w:rsidRDefault="00353177" w:rsidP="00353177">
            <w:pPr>
              <w:pStyle w:val="TableParagraph"/>
            </w:pPr>
          </w:p>
          <w:p w14:paraId="54505FC3" w14:textId="77777777" w:rsidR="00353177" w:rsidRPr="00957B06" w:rsidRDefault="00353177" w:rsidP="00353177">
            <w:pPr>
              <w:pStyle w:val="TableParagraph"/>
            </w:pPr>
          </w:p>
          <w:p w14:paraId="23A39703" w14:textId="77777777" w:rsidR="00353177" w:rsidRPr="00957B06" w:rsidRDefault="00353177" w:rsidP="00353177">
            <w:pPr>
              <w:pStyle w:val="TableParagraph"/>
            </w:pPr>
          </w:p>
          <w:p w14:paraId="51201F51" w14:textId="77777777" w:rsidR="00353177" w:rsidRPr="00957B06" w:rsidRDefault="00353177" w:rsidP="00353177">
            <w:pPr>
              <w:pStyle w:val="TableParagraph"/>
            </w:pPr>
          </w:p>
          <w:p w14:paraId="33445D55" w14:textId="77777777" w:rsidR="00353177" w:rsidRPr="00957B06" w:rsidRDefault="00353177" w:rsidP="00353177">
            <w:pPr>
              <w:pStyle w:val="TableParagraph"/>
            </w:pPr>
          </w:p>
          <w:p w14:paraId="5AE5D4D6" w14:textId="77777777" w:rsidR="00353177" w:rsidRPr="00957B06" w:rsidRDefault="00353177" w:rsidP="00353177">
            <w:pPr>
              <w:pStyle w:val="TableParagraph"/>
            </w:pPr>
          </w:p>
          <w:p w14:paraId="5D9B954F" w14:textId="77777777" w:rsidR="00353177" w:rsidRPr="00957B06" w:rsidRDefault="00353177" w:rsidP="00353177">
            <w:pPr>
              <w:pStyle w:val="TableParagraph"/>
            </w:pPr>
          </w:p>
          <w:p w14:paraId="24E3C6FD" w14:textId="77777777" w:rsidR="00353177" w:rsidRPr="00957B06" w:rsidRDefault="00353177" w:rsidP="00353177">
            <w:pPr>
              <w:pStyle w:val="TableParagraph"/>
            </w:pPr>
          </w:p>
          <w:p w14:paraId="5AB43C6B" w14:textId="77777777" w:rsidR="00353177" w:rsidRPr="00957B06" w:rsidRDefault="00353177" w:rsidP="00353177">
            <w:pPr>
              <w:pStyle w:val="TableParagraph"/>
            </w:pPr>
          </w:p>
          <w:p w14:paraId="4CE40C8D" w14:textId="77777777" w:rsidR="00353177" w:rsidRPr="00957B06" w:rsidRDefault="00353177" w:rsidP="00353177">
            <w:pPr>
              <w:pStyle w:val="TableParagraph"/>
            </w:pPr>
          </w:p>
          <w:p w14:paraId="33C35944" w14:textId="77777777" w:rsidR="00353177" w:rsidRPr="00957B06" w:rsidRDefault="00353177" w:rsidP="00353177">
            <w:pPr>
              <w:pStyle w:val="TableParagraph"/>
            </w:pPr>
          </w:p>
          <w:p w14:paraId="224E8674" w14:textId="77777777" w:rsidR="00353177" w:rsidRPr="00957B06" w:rsidRDefault="00353177" w:rsidP="00353177">
            <w:pPr>
              <w:pStyle w:val="TableParagraph"/>
            </w:pPr>
          </w:p>
          <w:p w14:paraId="52FB4592" w14:textId="77777777" w:rsidR="00353177" w:rsidRPr="00957B06" w:rsidRDefault="00353177" w:rsidP="00353177">
            <w:pPr>
              <w:pStyle w:val="TableParagraph"/>
            </w:pPr>
          </w:p>
          <w:p w14:paraId="46AFF9B9" w14:textId="77777777" w:rsidR="00353177" w:rsidRPr="00957B06" w:rsidRDefault="00353177" w:rsidP="00353177">
            <w:pPr>
              <w:pStyle w:val="TableParagraph"/>
            </w:pPr>
          </w:p>
          <w:p w14:paraId="31D11832" w14:textId="77777777" w:rsidR="00353177" w:rsidRPr="00957B06" w:rsidRDefault="00353177" w:rsidP="00353177">
            <w:pPr>
              <w:pStyle w:val="TableParagraph"/>
            </w:pPr>
          </w:p>
          <w:p w14:paraId="577C4988" w14:textId="77777777" w:rsidR="00353177" w:rsidRPr="00957B06" w:rsidRDefault="00353177" w:rsidP="00353177">
            <w:pPr>
              <w:pStyle w:val="TableParagraph"/>
            </w:pPr>
          </w:p>
          <w:p w14:paraId="4D4E2F1A" w14:textId="77777777" w:rsidR="00353177" w:rsidRPr="00957B06" w:rsidRDefault="00353177" w:rsidP="00353177">
            <w:pPr>
              <w:pStyle w:val="TableParagraph"/>
            </w:pPr>
          </w:p>
          <w:p w14:paraId="40A3CE3A" w14:textId="794049A9" w:rsidR="00353177" w:rsidRPr="00957B06" w:rsidRDefault="00353177" w:rsidP="00353177">
            <w:pPr>
              <w:pStyle w:val="TableParagraph"/>
              <w:ind w:left="0"/>
            </w:pPr>
          </w:p>
          <w:p w14:paraId="0737308D" w14:textId="77777777" w:rsidR="00353177" w:rsidRPr="00957B06" w:rsidRDefault="00353177" w:rsidP="00353177">
            <w:pPr>
              <w:pStyle w:val="TableParagraph"/>
              <w:ind w:left="0"/>
            </w:pPr>
          </w:p>
          <w:p w14:paraId="35E7AA9B" w14:textId="77777777" w:rsidR="00353177" w:rsidRPr="00957B06" w:rsidRDefault="00353177" w:rsidP="00353177">
            <w:pPr>
              <w:pStyle w:val="TableParagraph"/>
              <w:ind w:left="0"/>
            </w:pPr>
          </w:p>
          <w:p w14:paraId="7F6A7111" w14:textId="77777777" w:rsidR="00353177" w:rsidRPr="00957B06" w:rsidRDefault="00353177" w:rsidP="00353177">
            <w:pPr>
              <w:pStyle w:val="TableParagraph"/>
              <w:ind w:left="0"/>
            </w:pPr>
          </w:p>
          <w:p w14:paraId="2AC5CFCD" w14:textId="77777777" w:rsidR="00353177" w:rsidRPr="00957B06" w:rsidRDefault="00353177" w:rsidP="00353177">
            <w:pPr>
              <w:pStyle w:val="TableParagraph"/>
              <w:ind w:left="0"/>
            </w:pPr>
          </w:p>
          <w:p w14:paraId="7F685A80" w14:textId="77777777" w:rsidR="00353177" w:rsidRPr="00957B06" w:rsidRDefault="00353177" w:rsidP="00353177">
            <w:pPr>
              <w:pStyle w:val="TableParagraph"/>
              <w:ind w:left="0"/>
            </w:pPr>
          </w:p>
          <w:p w14:paraId="7757D344" w14:textId="77777777" w:rsidR="00353177" w:rsidRPr="00957B06" w:rsidRDefault="00353177" w:rsidP="00353177">
            <w:pPr>
              <w:pStyle w:val="TableParagraph"/>
              <w:ind w:left="0"/>
            </w:pPr>
          </w:p>
          <w:p w14:paraId="590DACC2" w14:textId="77777777" w:rsidR="00353177" w:rsidRPr="00957B06" w:rsidRDefault="00353177" w:rsidP="00353177">
            <w:pPr>
              <w:pStyle w:val="TableParagraph"/>
              <w:ind w:left="0"/>
            </w:pPr>
          </w:p>
          <w:p w14:paraId="0A923769" w14:textId="77777777" w:rsidR="00353177" w:rsidRPr="00957B06" w:rsidRDefault="00353177" w:rsidP="00353177">
            <w:pPr>
              <w:pStyle w:val="TableParagraph"/>
              <w:ind w:left="0"/>
            </w:pPr>
          </w:p>
          <w:p w14:paraId="76E215D8" w14:textId="77777777" w:rsidR="00353177" w:rsidRPr="00957B06" w:rsidRDefault="00353177" w:rsidP="00353177">
            <w:pPr>
              <w:pStyle w:val="TableParagraph"/>
              <w:ind w:left="0"/>
            </w:pPr>
          </w:p>
          <w:p w14:paraId="1F07245C" w14:textId="77777777" w:rsidR="00353177" w:rsidRPr="00957B06" w:rsidRDefault="00353177" w:rsidP="00353177">
            <w:pPr>
              <w:pStyle w:val="TableParagraph"/>
              <w:ind w:left="0"/>
            </w:pPr>
          </w:p>
          <w:p w14:paraId="624B635E" w14:textId="77777777" w:rsidR="00353177" w:rsidRPr="00957B06" w:rsidRDefault="00353177" w:rsidP="00353177">
            <w:pPr>
              <w:pStyle w:val="TableParagraph"/>
              <w:ind w:left="0"/>
            </w:pPr>
          </w:p>
          <w:p w14:paraId="2A8B923B" w14:textId="77777777" w:rsidR="00353177" w:rsidRPr="00957B06" w:rsidRDefault="00353177" w:rsidP="00353177">
            <w:pPr>
              <w:pStyle w:val="TableParagraph"/>
              <w:ind w:left="0"/>
            </w:pPr>
          </w:p>
          <w:p w14:paraId="0AAF88D5" w14:textId="77777777" w:rsidR="00353177" w:rsidRPr="00957B06" w:rsidRDefault="00353177" w:rsidP="00353177">
            <w:pPr>
              <w:pStyle w:val="TableParagraph"/>
              <w:ind w:left="0"/>
            </w:pPr>
          </w:p>
          <w:p w14:paraId="0B7B8378" w14:textId="77777777" w:rsidR="00353177" w:rsidRPr="00957B06" w:rsidRDefault="00353177" w:rsidP="00353177">
            <w:pPr>
              <w:pStyle w:val="TableParagraph"/>
              <w:ind w:left="0"/>
            </w:pPr>
          </w:p>
          <w:p w14:paraId="74A64949" w14:textId="77777777" w:rsidR="00353177" w:rsidRPr="00957B06" w:rsidRDefault="00353177" w:rsidP="00353177">
            <w:pPr>
              <w:pStyle w:val="TableParagraph"/>
              <w:ind w:left="0"/>
            </w:pPr>
          </w:p>
          <w:p w14:paraId="4F7F4818" w14:textId="77777777" w:rsidR="00353177" w:rsidRPr="00957B06" w:rsidRDefault="00353177" w:rsidP="00353177">
            <w:pPr>
              <w:pStyle w:val="TableParagraph"/>
              <w:ind w:left="0"/>
            </w:pPr>
          </w:p>
          <w:p w14:paraId="7A2DE7FE" w14:textId="77777777" w:rsidR="00353177" w:rsidRPr="00957B06" w:rsidRDefault="00353177" w:rsidP="00353177">
            <w:pPr>
              <w:pStyle w:val="TableParagraph"/>
              <w:ind w:left="0"/>
            </w:pPr>
          </w:p>
          <w:p w14:paraId="392BC551" w14:textId="77777777" w:rsidR="00353177" w:rsidRPr="00957B06" w:rsidRDefault="00353177" w:rsidP="00353177">
            <w:pPr>
              <w:pStyle w:val="TableParagraph"/>
              <w:ind w:left="0"/>
            </w:pPr>
          </w:p>
          <w:p w14:paraId="54BBD893" w14:textId="77777777" w:rsidR="00353177" w:rsidRPr="00957B06" w:rsidRDefault="00353177" w:rsidP="00353177">
            <w:pPr>
              <w:pStyle w:val="TableParagraph"/>
              <w:ind w:left="0"/>
            </w:pPr>
          </w:p>
          <w:p w14:paraId="06582071" w14:textId="77777777" w:rsidR="00353177" w:rsidRPr="00957B06" w:rsidRDefault="00353177" w:rsidP="00353177">
            <w:pPr>
              <w:pStyle w:val="TableParagraph"/>
              <w:ind w:left="0"/>
            </w:pPr>
          </w:p>
          <w:p w14:paraId="48938641" w14:textId="521399B4" w:rsidR="00353177" w:rsidRPr="00957B06" w:rsidRDefault="00353177" w:rsidP="00DD2568">
            <w:pPr>
              <w:pStyle w:val="TableParagraph"/>
              <w:numPr>
                <w:ilvl w:val="0"/>
                <w:numId w:val="3"/>
              </w:numPr>
            </w:pPr>
          </w:p>
          <w:p w14:paraId="1B9C34F6" w14:textId="7DE15554" w:rsidR="00353177" w:rsidRPr="00957B06" w:rsidRDefault="00353177" w:rsidP="00353177">
            <w:pPr>
              <w:pStyle w:val="TableParagraph"/>
              <w:ind w:left="0"/>
            </w:pPr>
          </w:p>
        </w:tc>
        <w:tc>
          <w:tcPr>
            <w:tcW w:w="2970" w:type="dxa"/>
            <w:gridSpan w:val="2"/>
          </w:tcPr>
          <w:p w14:paraId="365B87D3" w14:textId="2CF53C4C" w:rsidR="00353177" w:rsidRPr="00957B06" w:rsidRDefault="00353177" w:rsidP="00353177">
            <w:pPr>
              <w:pStyle w:val="TableParagraph"/>
              <w:ind w:left="107"/>
            </w:pPr>
            <w:r w:rsidRPr="00957B06">
              <w:t>Opinie zgł</w:t>
            </w:r>
            <w:r w:rsidR="0010239F" w:rsidRPr="00957B06">
              <w:t>a</w:t>
            </w:r>
            <w:r w:rsidRPr="00957B06">
              <w:t>sz</w:t>
            </w:r>
            <w:r w:rsidR="0010239F" w:rsidRPr="00957B06">
              <w:t>a</w:t>
            </w:r>
            <w:r w:rsidRPr="00957B06">
              <w:t>ne w procesie konsultacji proponowanych zmian do zapisów ustaw</w:t>
            </w:r>
            <w:r w:rsidR="0010239F" w:rsidRPr="00957B06">
              <w:t>y</w:t>
            </w:r>
            <w:r w:rsidRPr="00957B06">
              <w:t>:</w:t>
            </w:r>
          </w:p>
          <w:p w14:paraId="701D7AB5" w14:textId="3A37A4B3" w:rsidR="00353177" w:rsidRPr="00957B06" w:rsidRDefault="0010239F" w:rsidP="0010239F">
            <w:pPr>
              <w:pStyle w:val="TableParagraph"/>
              <w:numPr>
                <w:ilvl w:val="0"/>
                <w:numId w:val="30"/>
              </w:numPr>
              <w:ind w:left="370" w:hanging="284"/>
            </w:pPr>
            <w:r w:rsidRPr="00957B06">
              <w:t>członkowie</w:t>
            </w:r>
            <w:r w:rsidR="00353177" w:rsidRPr="00957B06">
              <w:t xml:space="preserve"> Rady Dostępności</w:t>
            </w:r>
          </w:p>
          <w:p w14:paraId="03B6460A" w14:textId="1D4D7085" w:rsidR="0010239F" w:rsidRPr="00957B06" w:rsidRDefault="0010239F" w:rsidP="0010239F">
            <w:pPr>
              <w:pStyle w:val="TableParagraph"/>
              <w:numPr>
                <w:ilvl w:val="0"/>
                <w:numId w:val="30"/>
              </w:numPr>
              <w:ind w:left="370" w:hanging="284"/>
            </w:pPr>
            <w:r w:rsidRPr="00957B06">
              <w:t xml:space="preserve">przedstawiciele spółdzielni mieszkaniowych </w:t>
            </w:r>
          </w:p>
          <w:p w14:paraId="3EE262CD" w14:textId="326A094E" w:rsidR="0010239F" w:rsidRPr="00957B06" w:rsidRDefault="0010239F" w:rsidP="0010239F">
            <w:pPr>
              <w:pStyle w:val="TableParagraph"/>
              <w:numPr>
                <w:ilvl w:val="0"/>
                <w:numId w:val="30"/>
              </w:numPr>
              <w:ind w:left="370" w:hanging="284"/>
            </w:pPr>
            <w:r w:rsidRPr="00957B06">
              <w:t>obywatele – mieszkańcy budownictwa wielorodzinnego</w:t>
            </w:r>
          </w:p>
          <w:p w14:paraId="09FCFC53" w14:textId="77777777" w:rsidR="00353177" w:rsidRPr="00957B06" w:rsidRDefault="00353177" w:rsidP="0010239F">
            <w:pPr>
              <w:pStyle w:val="TableParagraph"/>
              <w:numPr>
                <w:ilvl w:val="0"/>
                <w:numId w:val="30"/>
              </w:numPr>
              <w:ind w:left="370" w:hanging="284"/>
            </w:pPr>
            <w:r w:rsidRPr="00957B06">
              <w:t>Karkonoski Sejmik Osób Niepełnosprawnych</w:t>
            </w:r>
          </w:p>
          <w:p w14:paraId="52348D7E" w14:textId="77777777" w:rsidR="00353177" w:rsidRPr="00957B06" w:rsidRDefault="00353177" w:rsidP="0010239F">
            <w:pPr>
              <w:pStyle w:val="TableParagraph"/>
              <w:numPr>
                <w:ilvl w:val="0"/>
                <w:numId w:val="30"/>
              </w:numPr>
              <w:ind w:left="370" w:hanging="284"/>
            </w:pPr>
            <w:r w:rsidRPr="00957B06">
              <w:t>Politechnika Gdańska</w:t>
            </w:r>
          </w:p>
          <w:p w14:paraId="4CF9DE36" w14:textId="28CEA984" w:rsidR="00353177" w:rsidRPr="00957B06" w:rsidRDefault="00353177" w:rsidP="0010239F">
            <w:pPr>
              <w:pStyle w:val="TableParagraph"/>
              <w:numPr>
                <w:ilvl w:val="0"/>
                <w:numId w:val="30"/>
              </w:numPr>
              <w:ind w:left="370" w:hanging="284"/>
            </w:pPr>
            <w:r w:rsidRPr="00957B06">
              <w:t>Państwowy Fundusz Rehabilitacji Osób Niepełnosprawnych</w:t>
            </w:r>
          </w:p>
          <w:p w14:paraId="1B49F603" w14:textId="77509D25" w:rsidR="00353177" w:rsidRPr="00957B06" w:rsidRDefault="00353177" w:rsidP="0010239F">
            <w:pPr>
              <w:pStyle w:val="TableParagraph"/>
              <w:numPr>
                <w:ilvl w:val="0"/>
                <w:numId w:val="30"/>
              </w:numPr>
              <w:ind w:left="370" w:hanging="284"/>
            </w:pPr>
            <w:r w:rsidRPr="00957B06">
              <w:t>Fundacja Instytut Rozwoju Regionalnego</w:t>
            </w:r>
          </w:p>
          <w:p w14:paraId="39A30018" w14:textId="51538448" w:rsidR="00353177" w:rsidRPr="00957B06" w:rsidRDefault="00353177" w:rsidP="0010239F">
            <w:pPr>
              <w:pStyle w:val="TableParagraph"/>
              <w:numPr>
                <w:ilvl w:val="0"/>
                <w:numId w:val="30"/>
              </w:numPr>
              <w:ind w:left="370" w:hanging="284"/>
            </w:pPr>
            <w:r w:rsidRPr="00957B06">
              <w:t>Fundacja Fronia</w:t>
            </w:r>
          </w:p>
          <w:p w14:paraId="0C06B11A" w14:textId="37F7F6E1" w:rsidR="00353177" w:rsidRPr="00957B06" w:rsidRDefault="00353177" w:rsidP="0010239F">
            <w:pPr>
              <w:pStyle w:val="TableParagraph"/>
              <w:numPr>
                <w:ilvl w:val="0"/>
                <w:numId w:val="30"/>
              </w:numPr>
              <w:ind w:left="370" w:hanging="284"/>
            </w:pPr>
            <w:r w:rsidRPr="00957B06">
              <w:t>Zakład Ubezpieczeń Społecznych</w:t>
            </w:r>
          </w:p>
          <w:p w14:paraId="3EC6D85A" w14:textId="4F7CF1A3" w:rsidR="00353177" w:rsidRPr="00957B06" w:rsidRDefault="00353177" w:rsidP="0010239F">
            <w:pPr>
              <w:pStyle w:val="TableParagraph"/>
              <w:numPr>
                <w:ilvl w:val="0"/>
                <w:numId w:val="30"/>
              </w:numPr>
              <w:ind w:left="370" w:hanging="284"/>
            </w:pPr>
            <w:r w:rsidRPr="00957B06">
              <w:t>Fundacja Integracja</w:t>
            </w:r>
          </w:p>
          <w:p w14:paraId="074EE750" w14:textId="27E8DB5F" w:rsidR="00353177" w:rsidRPr="00957B06" w:rsidRDefault="00353177" w:rsidP="0010239F">
            <w:pPr>
              <w:pStyle w:val="TableParagraph"/>
              <w:numPr>
                <w:ilvl w:val="0"/>
                <w:numId w:val="30"/>
              </w:numPr>
              <w:ind w:left="370" w:hanging="284"/>
            </w:pPr>
            <w:r w:rsidRPr="00957B06">
              <w:t>Krajowa Izba Architektów RP</w:t>
            </w:r>
          </w:p>
          <w:p w14:paraId="2B348236" w14:textId="03A7D237" w:rsidR="00353177" w:rsidRPr="00957B06" w:rsidRDefault="00353177" w:rsidP="0010239F">
            <w:pPr>
              <w:pStyle w:val="TableParagraph"/>
              <w:numPr>
                <w:ilvl w:val="0"/>
                <w:numId w:val="30"/>
              </w:numPr>
              <w:ind w:left="370" w:hanging="284"/>
            </w:pPr>
            <w:r w:rsidRPr="00957B06">
              <w:t>Akademia Pedagogiki Specjalnej</w:t>
            </w:r>
          </w:p>
          <w:p w14:paraId="583844AC" w14:textId="0FEA4887" w:rsidR="00353177" w:rsidRPr="00957B06" w:rsidRDefault="00353177" w:rsidP="0010239F">
            <w:pPr>
              <w:pStyle w:val="TableParagraph"/>
              <w:numPr>
                <w:ilvl w:val="0"/>
                <w:numId w:val="30"/>
              </w:numPr>
              <w:ind w:left="370" w:hanging="284"/>
            </w:pPr>
            <w:r w:rsidRPr="00957B06">
              <w:t>Towarzystwo Urbanistów Polskich</w:t>
            </w:r>
          </w:p>
          <w:p w14:paraId="67FADB05" w14:textId="77777777" w:rsidR="00353177" w:rsidRPr="00957B06" w:rsidRDefault="00353177" w:rsidP="0010239F">
            <w:pPr>
              <w:pStyle w:val="TableParagraph"/>
              <w:numPr>
                <w:ilvl w:val="0"/>
                <w:numId w:val="30"/>
              </w:numPr>
              <w:ind w:left="370" w:hanging="284"/>
            </w:pPr>
            <w:r w:rsidRPr="00957B06">
              <w:t>Urząd Zamówień Publicznych</w:t>
            </w:r>
          </w:p>
          <w:p w14:paraId="52F058BC" w14:textId="353FB476" w:rsidR="00353177" w:rsidRPr="00957B06" w:rsidRDefault="00353177" w:rsidP="0010239F">
            <w:pPr>
              <w:pStyle w:val="TableParagraph"/>
              <w:numPr>
                <w:ilvl w:val="0"/>
                <w:numId w:val="30"/>
              </w:numPr>
              <w:ind w:left="370" w:hanging="284"/>
            </w:pPr>
            <w:r w:rsidRPr="00957B06">
              <w:t xml:space="preserve">Fundacja Blind&amp;Proud </w:t>
            </w:r>
          </w:p>
          <w:p w14:paraId="2EE52288" w14:textId="77777777" w:rsidR="00353177" w:rsidRPr="00957B06" w:rsidRDefault="00353177" w:rsidP="00353177">
            <w:pPr>
              <w:pStyle w:val="TableParagraph"/>
              <w:ind w:left="107"/>
            </w:pPr>
          </w:p>
          <w:p w14:paraId="35B3814D" w14:textId="1C7198A6" w:rsidR="00353177" w:rsidRPr="00957B06" w:rsidRDefault="00353177" w:rsidP="00353177">
            <w:pPr>
              <w:pStyle w:val="TableParagraph"/>
              <w:ind w:left="107"/>
            </w:pPr>
            <w:r w:rsidRPr="00957B06">
              <w:t xml:space="preserve"> </w:t>
            </w:r>
          </w:p>
          <w:p w14:paraId="468F0241" w14:textId="77777777" w:rsidR="00353177" w:rsidRPr="00957B06" w:rsidRDefault="00353177" w:rsidP="00353177">
            <w:pPr>
              <w:pStyle w:val="TableParagraph"/>
              <w:ind w:left="107"/>
            </w:pPr>
          </w:p>
          <w:p w14:paraId="433AFAF0" w14:textId="77777777" w:rsidR="00353177" w:rsidRPr="00957B06" w:rsidRDefault="00353177" w:rsidP="00353177">
            <w:pPr>
              <w:pStyle w:val="TableParagraph"/>
              <w:ind w:left="107"/>
            </w:pPr>
          </w:p>
          <w:p w14:paraId="12E429E9" w14:textId="77777777" w:rsidR="00353177" w:rsidRPr="00957B06" w:rsidRDefault="00353177" w:rsidP="00353177">
            <w:pPr>
              <w:pStyle w:val="TableParagraph"/>
              <w:ind w:left="107"/>
            </w:pPr>
          </w:p>
          <w:p w14:paraId="6C3DC24B" w14:textId="77777777" w:rsidR="00353177" w:rsidRPr="00957B06" w:rsidRDefault="00353177" w:rsidP="00353177">
            <w:pPr>
              <w:pStyle w:val="TableParagraph"/>
              <w:ind w:left="107"/>
            </w:pPr>
          </w:p>
          <w:p w14:paraId="5AC93587" w14:textId="77777777" w:rsidR="00353177" w:rsidRPr="00957B06" w:rsidRDefault="00353177" w:rsidP="00353177">
            <w:pPr>
              <w:pStyle w:val="TableParagraph"/>
              <w:ind w:left="107"/>
            </w:pPr>
          </w:p>
          <w:p w14:paraId="41740C2D" w14:textId="77777777" w:rsidR="00353177" w:rsidRPr="00957B06" w:rsidRDefault="00353177" w:rsidP="00353177">
            <w:pPr>
              <w:pStyle w:val="TableParagraph"/>
              <w:ind w:left="107"/>
            </w:pPr>
          </w:p>
          <w:p w14:paraId="5C600244" w14:textId="77777777" w:rsidR="00353177" w:rsidRPr="00957B06" w:rsidRDefault="00353177" w:rsidP="00353177">
            <w:pPr>
              <w:pStyle w:val="TableParagraph"/>
              <w:ind w:left="107"/>
            </w:pPr>
          </w:p>
          <w:p w14:paraId="47FCB5F5" w14:textId="77777777" w:rsidR="00353177" w:rsidRPr="00957B06" w:rsidRDefault="00353177" w:rsidP="00353177">
            <w:pPr>
              <w:pStyle w:val="TableParagraph"/>
              <w:ind w:left="107"/>
            </w:pPr>
          </w:p>
          <w:p w14:paraId="79156316" w14:textId="77777777" w:rsidR="00353177" w:rsidRPr="00957B06" w:rsidRDefault="00353177" w:rsidP="00353177">
            <w:pPr>
              <w:pStyle w:val="TableParagraph"/>
              <w:ind w:left="107"/>
            </w:pPr>
          </w:p>
          <w:p w14:paraId="13C22B92" w14:textId="77777777" w:rsidR="00353177" w:rsidRPr="00957B06" w:rsidRDefault="00353177" w:rsidP="00353177">
            <w:pPr>
              <w:pStyle w:val="TableParagraph"/>
              <w:ind w:left="107"/>
            </w:pPr>
          </w:p>
          <w:p w14:paraId="0B11BE2C" w14:textId="77777777" w:rsidR="00353177" w:rsidRPr="00957B06" w:rsidRDefault="00353177" w:rsidP="00353177">
            <w:pPr>
              <w:pStyle w:val="TableParagraph"/>
              <w:ind w:left="107"/>
            </w:pPr>
          </w:p>
          <w:p w14:paraId="5A295108" w14:textId="77777777" w:rsidR="00353177" w:rsidRPr="00957B06" w:rsidRDefault="00353177" w:rsidP="00353177">
            <w:pPr>
              <w:pStyle w:val="TableParagraph"/>
              <w:ind w:left="107"/>
            </w:pPr>
          </w:p>
          <w:p w14:paraId="3EA58D6E" w14:textId="77777777" w:rsidR="00353177" w:rsidRPr="00957B06" w:rsidRDefault="00353177" w:rsidP="00353177">
            <w:pPr>
              <w:pStyle w:val="TableParagraph"/>
              <w:ind w:left="107"/>
            </w:pPr>
          </w:p>
          <w:p w14:paraId="6C2CD8A4" w14:textId="77777777" w:rsidR="00353177" w:rsidRPr="00957B06" w:rsidRDefault="00353177" w:rsidP="00353177">
            <w:pPr>
              <w:pStyle w:val="TableParagraph"/>
              <w:ind w:left="107"/>
            </w:pPr>
          </w:p>
          <w:p w14:paraId="3CEC5971" w14:textId="77777777" w:rsidR="00353177" w:rsidRPr="00957B06" w:rsidRDefault="00353177" w:rsidP="00353177">
            <w:pPr>
              <w:pStyle w:val="TableParagraph"/>
              <w:ind w:left="107"/>
            </w:pPr>
          </w:p>
          <w:p w14:paraId="18094742" w14:textId="77777777" w:rsidR="00353177" w:rsidRPr="00957B06" w:rsidRDefault="00353177" w:rsidP="00353177">
            <w:pPr>
              <w:pStyle w:val="TableParagraph"/>
              <w:ind w:left="107"/>
            </w:pPr>
          </w:p>
          <w:p w14:paraId="7E962C21" w14:textId="77777777" w:rsidR="00353177" w:rsidRPr="00957B06" w:rsidRDefault="00353177" w:rsidP="00353177">
            <w:pPr>
              <w:pStyle w:val="TableParagraph"/>
              <w:ind w:left="107"/>
            </w:pPr>
          </w:p>
          <w:p w14:paraId="2E90DAA7" w14:textId="77777777" w:rsidR="00353177" w:rsidRPr="00957B06" w:rsidRDefault="00353177" w:rsidP="00353177">
            <w:pPr>
              <w:pStyle w:val="TableParagraph"/>
              <w:ind w:left="107"/>
            </w:pPr>
          </w:p>
          <w:p w14:paraId="3CAD83F6" w14:textId="77777777" w:rsidR="00353177" w:rsidRPr="00957B06" w:rsidRDefault="00353177" w:rsidP="00353177">
            <w:pPr>
              <w:pStyle w:val="TableParagraph"/>
              <w:ind w:left="107"/>
            </w:pPr>
          </w:p>
          <w:p w14:paraId="575283A9" w14:textId="77777777" w:rsidR="00353177" w:rsidRPr="00957B06" w:rsidRDefault="00353177" w:rsidP="00353177">
            <w:pPr>
              <w:pStyle w:val="TableParagraph"/>
              <w:ind w:left="107"/>
            </w:pPr>
          </w:p>
          <w:p w14:paraId="599529CE" w14:textId="77777777" w:rsidR="00353177" w:rsidRPr="00957B06" w:rsidRDefault="00353177" w:rsidP="00353177">
            <w:pPr>
              <w:pStyle w:val="TableParagraph"/>
              <w:ind w:left="107"/>
            </w:pPr>
          </w:p>
          <w:p w14:paraId="052D96D7" w14:textId="77777777" w:rsidR="00353177" w:rsidRPr="00957B06" w:rsidRDefault="00353177" w:rsidP="00353177">
            <w:pPr>
              <w:pStyle w:val="TableParagraph"/>
              <w:ind w:left="107"/>
            </w:pPr>
          </w:p>
          <w:p w14:paraId="489FE223" w14:textId="77777777" w:rsidR="00353177" w:rsidRPr="00957B06" w:rsidRDefault="00353177" w:rsidP="00353177">
            <w:pPr>
              <w:pStyle w:val="TableParagraph"/>
              <w:ind w:left="107"/>
            </w:pPr>
          </w:p>
          <w:p w14:paraId="4C73B118" w14:textId="77777777" w:rsidR="00353177" w:rsidRPr="00957B06" w:rsidRDefault="00353177" w:rsidP="00353177">
            <w:pPr>
              <w:pStyle w:val="TableParagraph"/>
              <w:ind w:left="107"/>
            </w:pPr>
          </w:p>
          <w:p w14:paraId="6350A2AD" w14:textId="77777777" w:rsidR="00353177" w:rsidRPr="00957B06" w:rsidRDefault="00353177" w:rsidP="00353177">
            <w:pPr>
              <w:pStyle w:val="TableParagraph"/>
              <w:ind w:left="107"/>
            </w:pPr>
          </w:p>
          <w:p w14:paraId="1C28137B" w14:textId="77777777" w:rsidR="00353177" w:rsidRPr="00957B06" w:rsidRDefault="00353177" w:rsidP="00353177">
            <w:pPr>
              <w:pStyle w:val="TableParagraph"/>
              <w:ind w:left="107"/>
            </w:pPr>
          </w:p>
          <w:p w14:paraId="52A88746" w14:textId="277DB226" w:rsidR="00353177" w:rsidRPr="00957B06" w:rsidRDefault="00353177" w:rsidP="00353177">
            <w:pPr>
              <w:pStyle w:val="TableParagraph"/>
              <w:ind w:left="107"/>
            </w:pPr>
          </w:p>
        </w:tc>
        <w:tc>
          <w:tcPr>
            <w:tcW w:w="3520" w:type="dxa"/>
            <w:gridSpan w:val="4"/>
          </w:tcPr>
          <w:p w14:paraId="44B4D895" w14:textId="5B08DFF0" w:rsidR="00860F0F" w:rsidRPr="00957B06" w:rsidRDefault="009E0350" w:rsidP="00D12F19">
            <w:pPr>
              <w:widowControl/>
              <w:autoSpaceDE/>
              <w:autoSpaceDN/>
              <w:spacing w:before="120" w:after="120"/>
            </w:pPr>
            <w:r w:rsidRPr="00957B06">
              <w:t xml:space="preserve">Zgłaszane propozycje dotyczące zmian w celu zwiększenia </w:t>
            </w:r>
            <w:r w:rsidR="00860F0F" w:rsidRPr="00957B06">
              <w:t xml:space="preserve"> skuteczności funkcjonowania ustawy </w:t>
            </w:r>
            <w:r w:rsidRPr="00957B06">
              <w:t>obejmują m.in.:</w:t>
            </w:r>
          </w:p>
          <w:p w14:paraId="2125E9AF" w14:textId="77777777" w:rsidR="00E1215A" w:rsidRPr="00957B06" w:rsidRDefault="00A06957" w:rsidP="00E1215A">
            <w:pPr>
              <w:pStyle w:val="Akapitzlist"/>
              <w:widowControl/>
              <w:numPr>
                <w:ilvl w:val="0"/>
                <w:numId w:val="32"/>
              </w:numPr>
              <w:autoSpaceDE/>
              <w:autoSpaceDN/>
              <w:spacing w:before="120" w:after="120"/>
              <w:jc w:val="left"/>
            </w:pPr>
            <w:r w:rsidRPr="00957B06">
              <w:t xml:space="preserve">rozszerzenie zapisów art. 6 zawierającego minimalne wymagania dostępności, </w:t>
            </w:r>
          </w:p>
          <w:p w14:paraId="30CBECD5" w14:textId="77777777" w:rsidR="00E1215A" w:rsidRPr="00957B06" w:rsidRDefault="0010239F" w:rsidP="00E1215A">
            <w:pPr>
              <w:pStyle w:val="Akapitzlist"/>
              <w:widowControl/>
              <w:numPr>
                <w:ilvl w:val="0"/>
                <w:numId w:val="32"/>
              </w:numPr>
              <w:autoSpaceDE/>
              <w:autoSpaceDN/>
              <w:spacing w:before="120" w:after="120"/>
              <w:jc w:val="left"/>
            </w:pPr>
            <w:r w:rsidRPr="00957B06">
              <w:t>r</w:t>
            </w:r>
            <w:r w:rsidR="00A06957" w:rsidRPr="00957B06">
              <w:t>ozszerzenie zakresu podmiotowego ustawy</w:t>
            </w:r>
            <w:r w:rsidRPr="00957B06">
              <w:t xml:space="preserve"> </w:t>
            </w:r>
            <w:r w:rsidR="00A06957" w:rsidRPr="00957B06">
              <w:t>o   podmioty  świadczące usługi w interesie ogólnym, w tym usługi publiczne i usługi użyteczności publicznej (usługi powszechne) z naciskiem na niepubliczne: apteki, gabinety lekarskie, szpitale i inne podmioty realizujące świadczenia zdrowotne jak domy pomocy społecznej, usługi edukacyjne, w tym niepubliczne szkoły, przedszkola i uczelnie</w:t>
            </w:r>
            <w:r w:rsidR="00E1215A" w:rsidRPr="00957B06">
              <w:t>,</w:t>
            </w:r>
          </w:p>
          <w:p w14:paraId="4F0677D5" w14:textId="77777777" w:rsidR="00E1215A" w:rsidRPr="00957B06" w:rsidRDefault="00A06957" w:rsidP="00E1215A">
            <w:pPr>
              <w:pStyle w:val="Akapitzlist"/>
              <w:widowControl/>
              <w:numPr>
                <w:ilvl w:val="0"/>
                <w:numId w:val="32"/>
              </w:numPr>
              <w:autoSpaceDE/>
              <w:autoSpaceDN/>
              <w:spacing w:before="120" w:after="120"/>
              <w:jc w:val="left"/>
            </w:pPr>
            <w:r w:rsidRPr="00957B06">
              <w:t>Rozszerzenie zakresu przedmiotowego ustawy o dostępności</w:t>
            </w:r>
            <w:r w:rsidR="0010239F" w:rsidRPr="00957B06">
              <w:t xml:space="preserve"> </w:t>
            </w:r>
            <w:r w:rsidRPr="00957B06">
              <w:t>o  usługi świadczone przez podmiot, dostępność usług opisywana w nawiązaniu do ustawy EAA  (poprzez ich cechy:  funkcjonalność, interoperacyjność, kompatybilność postrzegalność i zrozumiałość),</w:t>
            </w:r>
          </w:p>
          <w:p w14:paraId="34D20CD1" w14:textId="77777777" w:rsidR="00E1215A" w:rsidRPr="00957B06" w:rsidRDefault="0010239F" w:rsidP="00E1215A">
            <w:pPr>
              <w:pStyle w:val="Akapitzlist"/>
              <w:widowControl/>
              <w:numPr>
                <w:ilvl w:val="0"/>
                <w:numId w:val="32"/>
              </w:numPr>
              <w:autoSpaceDE/>
              <w:autoSpaceDN/>
              <w:spacing w:before="120" w:after="120"/>
              <w:jc w:val="left"/>
            </w:pPr>
            <w:r w:rsidRPr="00957B06">
              <w:t>D</w:t>
            </w:r>
            <w:r w:rsidR="00A06957" w:rsidRPr="00957B06">
              <w:t>oprecyzowanie zakresu działań, jakie podmiot publiczny a jakie inny podmiot wskazany w ustawie powinny dopełnić celem zapewniania dostępności siedziby, innych obiektów, w których prowadzi działalność a także świadczenia usług</w:t>
            </w:r>
            <w:r w:rsidR="00E1215A" w:rsidRPr="00957B06">
              <w:t>,</w:t>
            </w:r>
          </w:p>
          <w:p w14:paraId="570DDFFD" w14:textId="77777777" w:rsidR="00E1215A" w:rsidRPr="00957B06" w:rsidRDefault="0010239F" w:rsidP="00E1215A">
            <w:pPr>
              <w:pStyle w:val="Akapitzlist"/>
              <w:widowControl/>
              <w:numPr>
                <w:ilvl w:val="0"/>
                <w:numId w:val="32"/>
              </w:numPr>
              <w:autoSpaceDE/>
              <w:autoSpaceDN/>
              <w:spacing w:before="120" w:after="120"/>
              <w:jc w:val="left"/>
            </w:pPr>
            <w:r w:rsidRPr="00957B06">
              <w:t>O</w:t>
            </w:r>
            <w:r w:rsidR="00A06957" w:rsidRPr="00957B06">
              <w:t xml:space="preserve">graniczyć obecne nieuprawnione </w:t>
            </w:r>
            <w:r w:rsidRPr="00957B06">
              <w:t xml:space="preserve">i nadmierne </w:t>
            </w:r>
            <w:r w:rsidR="00A06957" w:rsidRPr="00957B06">
              <w:t>stosowanie dostępu alternatywnego,</w:t>
            </w:r>
          </w:p>
          <w:p w14:paraId="27F6BBD0" w14:textId="77777777" w:rsidR="00E1215A" w:rsidRPr="00957B06" w:rsidRDefault="0010239F" w:rsidP="00E1215A">
            <w:pPr>
              <w:pStyle w:val="Akapitzlist"/>
              <w:widowControl/>
              <w:numPr>
                <w:ilvl w:val="0"/>
                <w:numId w:val="32"/>
              </w:numPr>
              <w:autoSpaceDE/>
              <w:autoSpaceDN/>
              <w:spacing w:before="120" w:after="120"/>
              <w:jc w:val="left"/>
            </w:pPr>
            <w:r w:rsidRPr="00957B06">
              <w:t xml:space="preserve">Zapewnić </w:t>
            </w:r>
            <w:r w:rsidR="00A06957" w:rsidRPr="00957B06">
              <w:t>prymat zapewniania dostępności z uwzględnieniem uniwersalnego projektowania, a dopiero w przypadku braku takiej możliwości – przez zastosowanie racjonalnego usprawnienia</w:t>
            </w:r>
            <w:r w:rsidR="00E1215A" w:rsidRPr="00957B06">
              <w:t>,</w:t>
            </w:r>
          </w:p>
          <w:p w14:paraId="6ED2D9AC" w14:textId="77777777" w:rsidR="00E1215A" w:rsidRPr="00957B06" w:rsidRDefault="00A06957" w:rsidP="00E1215A">
            <w:pPr>
              <w:pStyle w:val="Akapitzlist"/>
              <w:widowControl/>
              <w:numPr>
                <w:ilvl w:val="0"/>
                <w:numId w:val="32"/>
              </w:numPr>
              <w:autoSpaceDE/>
              <w:autoSpaceDN/>
              <w:spacing w:before="120" w:after="120"/>
              <w:jc w:val="left"/>
            </w:pPr>
            <w:r w:rsidRPr="00957B06">
              <w:lastRenderedPageBreak/>
              <w:t xml:space="preserve">Wprowadzenie szczegółowych wytycznych dotyczących </w:t>
            </w:r>
            <w:r w:rsidR="0010239F" w:rsidRPr="00957B06">
              <w:t xml:space="preserve">sposobu realizacji wymagań określonych w </w:t>
            </w:r>
            <w:r w:rsidRPr="00957B06">
              <w:t>art.  6</w:t>
            </w:r>
            <w:r w:rsidR="00E1215A" w:rsidRPr="00957B06">
              <w:t>,</w:t>
            </w:r>
          </w:p>
          <w:p w14:paraId="2F3F0B01" w14:textId="77777777" w:rsidR="00E1215A" w:rsidRPr="00957B06" w:rsidRDefault="0010239F" w:rsidP="00E1215A">
            <w:pPr>
              <w:pStyle w:val="Akapitzlist"/>
              <w:widowControl/>
              <w:numPr>
                <w:ilvl w:val="0"/>
                <w:numId w:val="32"/>
              </w:numPr>
              <w:autoSpaceDE/>
              <w:autoSpaceDN/>
              <w:spacing w:before="120" w:after="120"/>
              <w:jc w:val="left"/>
            </w:pPr>
            <w:r w:rsidRPr="00957B06">
              <w:t>R</w:t>
            </w:r>
            <w:r w:rsidR="00A06957" w:rsidRPr="00957B06">
              <w:t>ozszerzenie zakresu dostępności architektonicznej o strefę dojścia i wejścia do budynku, trasy wolne od przeszkód wewnątrz budynku, wejścia do wszystkich pomieszczeń w budynku, zapewnienia pomieszczeń sanitarno-higienicznego dostosowanego do potrzeb osób z niepełnosprawnościami,</w:t>
            </w:r>
          </w:p>
          <w:p w14:paraId="3C9CE409" w14:textId="77777777" w:rsidR="00E1215A" w:rsidRPr="00957B06" w:rsidRDefault="00C30F99" w:rsidP="00E1215A">
            <w:pPr>
              <w:pStyle w:val="Akapitzlist"/>
              <w:widowControl/>
              <w:numPr>
                <w:ilvl w:val="0"/>
                <w:numId w:val="32"/>
              </w:numPr>
              <w:autoSpaceDE/>
              <w:autoSpaceDN/>
              <w:spacing w:before="120" w:after="120"/>
              <w:jc w:val="left"/>
            </w:pPr>
            <w:r w:rsidRPr="00957B06">
              <w:t>D</w:t>
            </w:r>
            <w:r w:rsidR="00A06957" w:rsidRPr="00957B06">
              <w:t>oprecyzowanie oczekiwań dot. dostępnej ewakuacji: wdrożenie odpowiednich procedur, szkolenia personelu, posiadanie sprzętu lub wyposażenia umożliwiającego ewakuację, wyznaczenie przestrzeni do oczekiwania na ewakuację i przetrwanie w budynku w sytuacji zagrożenia,</w:t>
            </w:r>
          </w:p>
          <w:p w14:paraId="0FDFBDFC" w14:textId="77777777" w:rsidR="00E1215A" w:rsidRPr="00957B06" w:rsidRDefault="00C30F99" w:rsidP="00E1215A">
            <w:pPr>
              <w:pStyle w:val="Akapitzlist"/>
              <w:widowControl/>
              <w:numPr>
                <w:ilvl w:val="0"/>
                <w:numId w:val="32"/>
              </w:numPr>
              <w:autoSpaceDE/>
              <w:autoSpaceDN/>
              <w:spacing w:before="120" w:after="120"/>
              <w:jc w:val="left"/>
            </w:pPr>
            <w:r w:rsidRPr="00957B06">
              <w:t>Wprowadzenie delegacji ustawowej do wydania przez</w:t>
            </w:r>
            <w:r w:rsidR="00A06957" w:rsidRPr="00957B06">
              <w:t xml:space="preserve"> ministra ds. rozwoju regionalnego </w:t>
            </w:r>
            <w:r w:rsidRPr="00957B06">
              <w:t xml:space="preserve"> </w:t>
            </w:r>
            <w:r w:rsidR="00A06957" w:rsidRPr="00957B06">
              <w:t xml:space="preserve">wytycznych dla wymagań w zakresie dostępności architektonicznej i informacyjno-komunikacyjnej, </w:t>
            </w:r>
          </w:p>
          <w:p w14:paraId="766C0D2B" w14:textId="77777777" w:rsidR="00E1215A" w:rsidRPr="00957B06" w:rsidRDefault="00DD5FB9" w:rsidP="00E1215A">
            <w:pPr>
              <w:pStyle w:val="Akapitzlist"/>
              <w:widowControl/>
              <w:numPr>
                <w:ilvl w:val="0"/>
                <w:numId w:val="32"/>
              </w:numPr>
              <w:autoSpaceDE/>
              <w:autoSpaceDN/>
              <w:spacing w:before="120" w:after="120"/>
              <w:jc w:val="left"/>
            </w:pPr>
            <w:r w:rsidRPr="00957B06">
              <w:t xml:space="preserve">Wprowadzenie obowiązku  </w:t>
            </w:r>
            <w:r w:rsidR="00A06957" w:rsidRPr="00957B06">
              <w:t>ujawniania informacji o przypadkach stosowania dostępu alternatywnego</w:t>
            </w:r>
            <w:r w:rsidR="00E1215A" w:rsidRPr="00957B06">
              <w:t>,</w:t>
            </w:r>
          </w:p>
          <w:p w14:paraId="49EB5C2C" w14:textId="77777777" w:rsidR="00E1215A" w:rsidRPr="00957B06" w:rsidRDefault="00A06957" w:rsidP="00E1215A">
            <w:pPr>
              <w:pStyle w:val="Akapitzlist"/>
              <w:widowControl/>
              <w:numPr>
                <w:ilvl w:val="0"/>
                <w:numId w:val="32"/>
              </w:numPr>
              <w:autoSpaceDE/>
              <w:autoSpaceDN/>
              <w:spacing w:before="120" w:after="120"/>
              <w:jc w:val="left"/>
            </w:pPr>
            <w:r w:rsidRPr="00957B06">
              <w:t>Wzmocnienie</w:t>
            </w:r>
            <w:r w:rsidR="004232B5" w:rsidRPr="00957B06">
              <w:t xml:space="preserve"> </w:t>
            </w:r>
            <w:r w:rsidR="009E0350" w:rsidRPr="00957B06">
              <w:t xml:space="preserve">roli i </w:t>
            </w:r>
            <w:r w:rsidRPr="00957B06">
              <w:t>funkcji  koordynatorów do spraw dostępności</w:t>
            </w:r>
            <w:r w:rsidR="00E1215A" w:rsidRPr="00957B06">
              <w:t>,</w:t>
            </w:r>
          </w:p>
          <w:p w14:paraId="676DA6D2" w14:textId="77777777" w:rsidR="00E1215A" w:rsidRPr="00957B06" w:rsidRDefault="00E1215A" w:rsidP="00E1215A">
            <w:pPr>
              <w:pStyle w:val="Akapitzlist"/>
              <w:widowControl/>
              <w:numPr>
                <w:ilvl w:val="0"/>
                <w:numId w:val="32"/>
              </w:numPr>
              <w:autoSpaceDE/>
              <w:autoSpaceDN/>
              <w:spacing w:before="120" w:after="120"/>
              <w:jc w:val="left"/>
            </w:pPr>
            <w:r w:rsidRPr="00957B06">
              <w:t>W</w:t>
            </w:r>
            <w:r w:rsidR="00A06957" w:rsidRPr="00957B06">
              <w:t>ykorzystanie narzędzia informatycznego do celów raportowania</w:t>
            </w:r>
            <w:r w:rsidR="009E0350" w:rsidRPr="00957B06">
              <w:t xml:space="preserve"> o dostępności (art. 11) i zwolnienie z obowiązku pośredniczenia w raportowaniu przez </w:t>
            </w:r>
            <w:r w:rsidR="00A06957" w:rsidRPr="00957B06">
              <w:t xml:space="preserve"> wojewod</w:t>
            </w:r>
            <w:r w:rsidR="009E0350" w:rsidRPr="00957B06">
              <w:t>ę</w:t>
            </w:r>
            <w:r w:rsidR="00A06957" w:rsidRPr="00957B06">
              <w:t>,</w:t>
            </w:r>
          </w:p>
          <w:p w14:paraId="0FFF57F7" w14:textId="77777777" w:rsidR="00E1215A" w:rsidRPr="00957B06" w:rsidRDefault="00E1215A" w:rsidP="00E1215A">
            <w:pPr>
              <w:pStyle w:val="Akapitzlist"/>
              <w:widowControl/>
              <w:numPr>
                <w:ilvl w:val="0"/>
                <w:numId w:val="32"/>
              </w:numPr>
              <w:autoSpaceDE/>
              <w:autoSpaceDN/>
              <w:spacing w:before="120" w:after="120"/>
              <w:jc w:val="left"/>
            </w:pPr>
            <w:r w:rsidRPr="00957B06">
              <w:t>R</w:t>
            </w:r>
            <w:r w:rsidR="00A06957" w:rsidRPr="00957B06">
              <w:t xml:space="preserve">ozszerzenie zakresu obowiązkowych informacji w raporcie: informacja o wnioskach o zapewnienie dostępności, danych koordynatora lub zespołu, </w:t>
            </w:r>
            <w:r w:rsidR="00A06957" w:rsidRPr="00957B06">
              <w:lastRenderedPageBreak/>
              <w:t>postepowaniu  skargowym i planie,</w:t>
            </w:r>
          </w:p>
          <w:p w14:paraId="7B33CB7B" w14:textId="77777777" w:rsidR="00E1215A" w:rsidRPr="00957B06" w:rsidRDefault="00E1215A" w:rsidP="00E1215A">
            <w:pPr>
              <w:pStyle w:val="Akapitzlist"/>
              <w:widowControl/>
              <w:numPr>
                <w:ilvl w:val="0"/>
                <w:numId w:val="32"/>
              </w:numPr>
              <w:autoSpaceDE/>
              <w:autoSpaceDN/>
              <w:spacing w:before="120" w:after="120"/>
              <w:jc w:val="left"/>
            </w:pPr>
            <w:r w:rsidRPr="00957B06">
              <w:t>W</w:t>
            </w:r>
            <w:r w:rsidR="00A06957" w:rsidRPr="00957B06">
              <w:t>prowadzenie uprawnienia ministra właściwego do spraw rozwoju regionalnego do monitoringu wdrażania obowiązków podmiotów publicznych wynikających z ustawy</w:t>
            </w:r>
            <w:r w:rsidRPr="00957B06">
              <w:t>,</w:t>
            </w:r>
          </w:p>
          <w:p w14:paraId="0CD3DD23" w14:textId="77777777" w:rsidR="00E1215A" w:rsidRPr="00957B06" w:rsidRDefault="009E0350" w:rsidP="00E1215A">
            <w:pPr>
              <w:pStyle w:val="Akapitzlist"/>
              <w:widowControl/>
              <w:numPr>
                <w:ilvl w:val="0"/>
                <w:numId w:val="32"/>
              </w:numPr>
              <w:autoSpaceDE/>
              <w:autoSpaceDN/>
              <w:spacing w:before="120" w:after="120"/>
              <w:jc w:val="left"/>
            </w:pPr>
            <w:r w:rsidRPr="00957B06">
              <w:t>Wprowadzenie przepisów</w:t>
            </w:r>
            <w:r w:rsidRPr="00957B06">
              <w:fldChar w:fldCharType="begin"/>
            </w:r>
            <w:r w:rsidRPr="00957B06">
              <w:instrText xml:space="preserve"> LISTNUM </w:instrText>
            </w:r>
            <w:r w:rsidRPr="00957B06">
              <w:fldChar w:fldCharType="end">
                <w:numberingChange w:id="1" w:author="Herman Przemysław" w:date="2026-06-03T15:30:00Z" w:original="o"/>
              </w:fldChar>
            </w:r>
            <w:r w:rsidRPr="00467BD3">
              <w:t xml:space="preserve"> zwiększających efektywność</w:t>
            </w:r>
            <w:r w:rsidRPr="00957B06">
              <w:t xml:space="preserve"> systemu certyfikacji dostępności, dodanie uprawnień kontrolnych dla ministra ds. rozwoju regionalnego</w:t>
            </w:r>
            <w:r w:rsidR="00E1215A" w:rsidRPr="00957B06">
              <w:t>,</w:t>
            </w:r>
          </w:p>
          <w:p w14:paraId="13EB6B1F" w14:textId="36D73FE9" w:rsidR="00353177" w:rsidRPr="00957B06" w:rsidRDefault="00E1215A" w:rsidP="00E1215A">
            <w:pPr>
              <w:pStyle w:val="Akapitzlist"/>
              <w:widowControl/>
              <w:numPr>
                <w:ilvl w:val="0"/>
                <w:numId w:val="32"/>
              </w:numPr>
              <w:autoSpaceDE/>
              <w:autoSpaceDN/>
              <w:spacing w:before="120" w:after="120"/>
              <w:jc w:val="left"/>
            </w:pPr>
            <w:r w:rsidRPr="00957B06">
              <w:t>U</w:t>
            </w:r>
            <w:r w:rsidR="009E0350" w:rsidRPr="00957B06">
              <w:t>proszczenie procesu skargowego, w tym rozszerzenie możliwości występowania z wnioskiem o zapewnienie dostępności w interesie publicznym (organizacje pozarządowe).</w:t>
            </w:r>
          </w:p>
        </w:tc>
        <w:tc>
          <w:tcPr>
            <w:tcW w:w="4066" w:type="dxa"/>
            <w:gridSpan w:val="3"/>
          </w:tcPr>
          <w:p w14:paraId="17B19775" w14:textId="12397EC2" w:rsidR="00353177" w:rsidRPr="00957B06" w:rsidRDefault="009E0350" w:rsidP="009E0350">
            <w:pPr>
              <w:pStyle w:val="TableParagraph"/>
              <w:ind w:left="107"/>
              <w:rPr>
                <w:b/>
                <w:bCs/>
              </w:rPr>
            </w:pPr>
            <w:r w:rsidRPr="00957B06">
              <w:rPr>
                <w:b/>
                <w:bCs/>
              </w:rPr>
              <w:lastRenderedPageBreak/>
              <w:t>Minister Funduszy i Polityki Regionalnej analizuje zgłaszane postulaty i na tej podstawie przygotuje projekt ewentualnych zmian do ustawy.</w:t>
            </w:r>
            <w:r w:rsidRPr="00957B06">
              <w:rPr>
                <w:rFonts w:ascii="Arial" w:hAnsi="Arial" w:cs="Arial"/>
                <w:b/>
                <w:bCs/>
              </w:rPr>
              <w:t xml:space="preserve"> </w:t>
            </w:r>
          </w:p>
        </w:tc>
      </w:tr>
    </w:tbl>
    <w:p w14:paraId="5161B249" w14:textId="77777777" w:rsidR="009C15F8" w:rsidRPr="00957B06" w:rsidRDefault="009C15F8">
      <w:pPr>
        <w:spacing w:line="250" w:lineRule="atLeast"/>
        <w:jc w:val="both"/>
        <w:sectPr w:rsidR="009C15F8" w:rsidRPr="00957B06">
          <w:pgSz w:w="11910" w:h="16840"/>
          <w:pgMar w:top="520" w:right="300" w:bottom="280" w:left="320" w:header="708" w:footer="708" w:gutter="0"/>
          <w:cols w:space="708"/>
        </w:sectPr>
      </w:pPr>
    </w:p>
    <w:p w14:paraId="24AB3F4E" w14:textId="77777777" w:rsidR="009C15F8" w:rsidRPr="00467BD3" w:rsidRDefault="009C15F8">
      <w:pPr>
        <w:pStyle w:val="Tekstpodstawowy"/>
        <w:spacing w:before="7"/>
        <w:rPr>
          <w:sz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1"/>
        <w:gridCol w:w="7586"/>
      </w:tblGrid>
      <w:tr w:rsidR="009C15F8" w:rsidRPr="00957B06" w14:paraId="08966166" w14:textId="77777777">
        <w:trPr>
          <w:trHeight w:val="505"/>
        </w:trPr>
        <w:tc>
          <w:tcPr>
            <w:tcW w:w="3471" w:type="dxa"/>
          </w:tcPr>
          <w:p w14:paraId="3ADE701F" w14:textId="77777777" w:rsidR="009C15F8" w:rsidRPr="00957B06" w:rsidRDefault="00E06656">
            <w:pPr>
              <w:pStyle w:val="TableParagraph"/>
              <w:ind w:right="145"/>
            </w:pPr>
            <w:r w:rsidRPr="00957B06">
              <w:t>Inne źródła opinii o ustawie (np. badania opinii, materiały konferencyjne)</w:t>
            </w:r>
          </w:p>
        </w:tc>
        <w:tc>
          <w:tcPr>
            <w:tcW w:w="7586" w:type="dxa"/>
          </w:tcPr>
          <w:p w14:paraId="6BA5AD25" w14:textId="7DF319D6" w:rsidR="00B474C8" w:rsidRPr="0005031D" w:rsidRDefault="007031A8" w:rsidP="0005031D">
            <w:pPr>
              <w:pStyle w:val="NormalnyWeb"/>
              <w:spacing w:before="0" w:after="240" w:line="336" w:lineRule="auto"/>
              <w:rPr>
                <w:sz w:val="22"/>
                <w:szCs w:val="22"/>
                <w:lang w:eastAsia="en-US"/>
              </w:rPr>
            </w:pPr>
            <w:r w:rsidRPr="00957B06">
              <w:rPr>
                <w:sz w:val="22"/>
                <w:szCs w:val="22"/>
                <w:lang w:eastAsia="en-US"/>
              </w:rPr>
              <w:t xml:space="preserve">W 2024 r. przeprowadzono </w:t>
            </w:r>
            <w:r w:rsidR="00D26373" w:rsidRPr="00957B06">
              <w:rPr>
                <w:sz w:val="22"/>
                <w:szCs w:val="22"/>
                <w:lang w:eastAsia="en-US"/>
              </w:rPr>
              <w:t xml:space="preserve">zewnętrzną </w:t>
            </w:r>
            <w:r w:rsidRPr="00957B06">
              <w:rPr>
                <w:sz w:val="22"/>
                <w:szCs w:val="22"/>
                <w:lang w:eastAsia="en-US"/>
              </w:rPr>
              <w:t xml:space="preserve">ewaluację skuteczności funkcjonowania przepisów </w:t>
            </w:r>
            <w:r w:rsidR="00BA5F8A" w:rsidRPr="00957B06">
              <w:rPr>
                <w:sz w:val="22"/>
                <w:szCs w:val="22"/>
                <w:lang w:eastAsia="en-US"/>
              </w:rPr>
              <w:t xml:space="preserve">niniejszej </w:t>
            </w:r>
            <w:r w:rsidRPr="00957B06">
              <w:rPr>
                <w:sz w:val="22"/>
                <w:szCs w:val="22"/>
                <w:lang w:eastAsia="en-US"/>
              </w:rPr>
              <w:t xml:space="preserve">ustawy. </w:t>
            </w:r>
            <w:r w:rsidR="00255A6F" w:rsidRPr="00467BD3">
              <w:rPr>
                <w:sz w:val="22"/>
                <w:szCs w:val="22"/>
                <w:lang w:eastAsia="en-US"/>
              </w:rPr>
              <w:t xml:space="preserve"> Badanie ewaluacyjne zostało przeprowadzone z zastosowaniem różnor</w:t>
            </w:r>
            <w:r w:rsidR="00255A6F" w:rsidRPr="00957B06">
              <w:rPr>
                <w:sz w:val="22"/>
                <w:szCs w:val="22"/>
                <w:lang w:eastAsia="en-US"/>
              </w:rPr>
              <w:t>odnych technik i narzędzi badawczych, w tym badanie ankietowe na ponad 2400 podmiotach zobowiązanych do wdrażania ustawy, wywiady indywidualne (33)  i grupowe (48 osób), 50 podmiotów objętych weryfikacją przez tzw. tajemniczego klienta. Dodatkowo</w:t>
            </w:r>
            <w:r w:rsidR="00957B06">
              <w:rPr>
                <w:sz w:val="22"/>
                <w:szCs w:val="22"/>
                <w:lang w:eastAsia="en-US"/>
              </w:rPr>
              <w:t>,</w:t>
            </w:r>
            <w:r w:rsidR="00255A6F" w:rsidRPr="00957B06">
              <w:rPr>
                <w:sz w:val="22"/>
                <w:szCs w:val="22"/>
                <w:lang w:eastAsia="en-US"/>
              </w:rPr>
              <w:t xml:space="preserve"> odbyły się warsztaty design </w:t>
            </w:r>
            <w:proofErr w:type="spellStart"/>
            <w:r w:rsidR="00255A6F" w:rsidRPr="00957B06">
              <w:rPr>
                <w:sz w:val="22"/>
                <w:szCs w:val="22"/>
                <w:lang w:eastAsia="en-US"/>
              </w:rPr>
              <w:t>thinking</w:t>
            </w:r>
            <w:proofErr w:type="spellEnd"/>
            <w:r w:rsidR="00255A6F" w:rsidRPr="00957B06">
              <w:rPr>
                <w:sz w:val="22"/>
                <w:szCs w:val="22"/>
                <w:lang w:eastAsia="en-US"/>
              </w:rPr>
              <w:t xml:space="preserve">, panele eksperckie jak również analiza informacji i opinii zgromadzonych na forach i specjalistycznych platformach internetowych służących wymianie wiedzy miedzy ekspertami. Konsultacje przeprowadzono w trzech formach: spotkań stacjonarnych (Warszawa, Kraków, Gdańsk), spotkań zdalnych (2 spotkania) oraz internetowego </w:t>
            </w:r>
            <w:r w:rsidR="00B474C8" w:rsidRPr="00957B06">
              <w:rPr>
                <w:sz w:val="22"/>
                <w:szCs w:val="22"/>
                <w:lang w:eastAsia="en-US"/>
              </w:rPr>
              <w:t xml:space="preserve">oraz fizycznego </w:t>
            </w:r>
            <w:r w:rsidR="00255A6F" w:rsidRPr="00957B06">
              <w:rPr>
                <w:sz w:val="22"/>
                <w:szCs w:val="22"/>
                <w:lang w:eastAsia="en-US"/>
              </w:rPr>
              <w:t xml:space="preserve">formularza konsultacyjnego. </w:t>
            </w:r>
            <w:r w:rsidR="00B474C8" w:rsidRPr="00957B06">
              <w:rPr>
                <w:sz w:val="22"/>
                <w:szCs w:val="22"/>
                <w:lang w:eastAsia="en-US"/>
              </w:rPr>
              <w:t>W konsultacjach stacjonarnych i online wzięły udział łącznie 142 osoby, w tym: 16 ekspertów i ekspertek ds. dostępności, 27 osób ze szczególnymi potrzebami, 11 osób reprezentujących podmioty prywatne realizujące zadania zlecane lub zamówienia publiczne w obszarze usług świadczonych na rzecz osób ze szczególnymi potrzebami oraz podmioty certyfikujące i posiadające certyfikat, 27 osób z NGO oraz 61 przedstawicieli i przedstawicielek podmiotów publicznych objętych ustawą.</w:t>
            </w:r>
          </w:p>
          <w:p w14:paraId="75BF3D7A" w14:textId="4DBF72AE" w:rsidR="007031A8" w:rsidRPr="0005031D" w:rsidRDefault="009E0350" w:rsidP="0005031D">
            <w:pPr>
              <w:pStyle w:val="NormalnyWeb"/>
              <w:spacing w:before="0" w:after="240" w:line="336" w:lineRule="auto"/>
              <w:rPr>
                <w:sz w:val="22"/>
                <w:szCs w:val="22"/>
                <w:lang w:eastAsia="en-US"/>
              </w:rPr>
            </w:pPr>
            <w:r w:rsidRPr="0005031D">
              <w:rPr>
                <w:sz w:val="22"/>
                <w:szCs w:val="22"/>
                <w:lang w:eastAsia="en-US"/>
              </w:rPr>
              <w:t>Główne w</w:t>
            </w:r>
            <w:r w:rsidR="007031A8" w:rsidRPr="0005031D">
              <w:rPr>
                <w:sz w:val="22"/>
                <w:szCs w:val="22"/>
                <w:lang w:eastAsia="en-US"/>
              </w:rPr>
              <w:t xml:space="preserve">nioski wynikające z </w:t>
            </w:r>
            <w:r w:rsidRPr="0005031D">
              <w:rPr>
                <w:sz w:val="22"/>
                <w:szCs w:val="22"/>
                <w:lang w:eastAsia="en-US"/>
              </w:rPr>
              <w:t xml:space="preserve">tej </w:t>
            </w:r>
            <w:r w:rsidR="007031A8" w:rsidRPr="0005031D">
              <w:rPr>
                <w:sz w:val="22"/>
                <w:szCs w:val="22"/>
                <w:lang w:eastAsia="en-US"/>
              </w:rPr>
              <w:t>ewaluacji</w:t>
            </w:r>
            <w:r w:rsidRPr="0005031D">
              <w:rPr>
                <w:sz w:val="22"/>
                <w:szCs w:val="22"/>
                <w:lang w:eastAsia="en-US"/>
              </w:rPr>
              <w:t xml:space="preserve"> są </w:t>
            </w:r>
            <w:r w:rsidR="00BA5F8A" w:rsidRPr="0005031D">
              <w:rPr>
                <w:sz w:val="22"/>
                <w:szCs w:val="22"/>
                <w:lang w:eastAsia="en-US"/>
              </w:rPr>
              <w:t>następujące</w:t>
            </w:r>
            <w:r w:rsidR="007031A8" w:rsidRPr="0005031D">
              <w:rPr>
                <w:sz w:val="22"/>
                <w:szCs w:val="22"/>
                <w:lang w:eastAsia="en-US"/>
              </w:rPr>
              <w:t>:</w:t>
            </w:r>
          </w:p>
          <w:p w14:paraId="571A6CA7" w14:textId="449F5D45" w:rsidR="007031A8" w:rsidRPr="00957B06" w:rsidRDefault="007031A8" w:rsidP="0005031D">
            <w:pPr>
              <w:widowControl/>
              <w:numPr>
                <w:ilvl w:val="0"/>
                <w:numId w:val="18"/>
              </w:numPr>
              <w:pBdr>
                <w:top w:val="nil"/>
                <w:left w:val="nil"/>
                <w:bottom w:val="nil"/>
                <w:right w:val="nil"/>
                <w:between w:val="nil"/>
              </w:pBdr>
              <w:suppressAutoHyphens/>
              <w:autoSpaceDE/>
              <w:spacing w:after="240" w:line="276" w:lineRule="auto"/>
              <w:ind w:left="426" w:hanging="426"/>
              <w:textAlignment w:val="baseline"/>
            </w:pPr>
            <w:r w:rsidRPr="00957B06">
              <w:t>Ustawa została zasadniczo dobrze skonstruowana pod kątem jej zakresu przedmiotowego. Wymaga jednak uzupełnienia o usługi świadczone w interesie ogólnym, w tym usługi publiczne i usługi użyteczności publicznej (usługi powszechne), w szczególności te świadczone w obszarze zdrowia i edukacji.</w:t>
            </w:r>
          </w:p>
          <w:p w14:paraId="2BC7299F" w14:textId="30C9F4A9" w:rsidR="007031A8" w:rsidRPr="00957B06" w:rsidRDefault="007031A8" w:rsidP="0005031D">
            <w:pPr>
              <w:widowControl/>
              <w:numPr>
                <w:ilvl w:val="0"/>
                <w:numId w:val="18"/>
              </w:numPr>
              <w:pBdr>
                <w:top w:val="nil"/>
                <w:left w:val="nil"/>
                <w:bottom w:val="nil"/>
                <w:right w:val="nil"/>
                <w:between w:val="nil"/>
              </w:pBdr>
              <w:suppressAutoHyphens/>
              <w:autoSpaceDE/>
              <w:spacing w:after="240" w:line="276" w:lineRule="auto"/>
              <w:ind w:left="426" w:hanging="426"/>
              <w:textAlignment w:val="baseline"/>
            </w:pPr>
            <w:r w:rsidRPr="00957B06">
              <w:t xml:space="preserve">Ustawa wymaga rozszerzenia podmiotowego o kolejne podmioty, które świadczą usługi w interesie ogólnym, w tym usługi publiczne i usługi użyteczności publicznej (usługi powszechne) z naciskiem na niepubliczne: </w:t>
            </w:r>
            <w:r w:rsidR="00BA5F8A" w:rsidRPr="00957B06">
              <w:t xml:space="preserve">np. </w:t>
            </w:r>
            <w:r w:rsidRPr="00957B06">
              <w:t>apteki, gabinety lekarskie, szpitale i inne podmioty realizujące świadczenia zdrowotne, usługi edukacyjne, w tym niepubliczne szkoły, przedszkola i uczelnie.</w:t>
            </w:r>
          </w:p>
          <w:p w14:paraId="12948245" w14:textId="77777777" w:rsidR="007031A8" w:rsidRPr="00957B06" w:rsidRDefault="007031A8" w:rsidP="0005031D">
            <w:pPr>
              <w:widowControl/>
              <w:numPr>
                <w:ilvl w:val="0"/>
                <w:numId w:val="18"/>
              </w:numPr>
              <w:pBdr>
                <w:top w:val="nil"/>
                <w:left w:val="nil"/>
                <w:bottom w:val="nil"/>
                <w:right w:val="nil"/>
                <w:between w:val="nil"/>
              </w:pBdr>
              <w:suppressAutoHyphens/>
              <w:autoSpaceDE/>
              <w:spacing w:after="240" w:line="276" w:lineRule="auto"/>
              <w:ind w:left="426" w:hanging="426"/>
              <w:textAlignment w:val="baseline"/>
            </w:pPr>
            <w:r w:rsidRPr="00957B06">
              <w:t xml:space="preserve">Ustawa wymaga rozszerzenia o dostępność przestrzeni publicznej i zapewnienia jej wolnej od barier w odniesieniu do przestrzeni takiej jak chodniki, place, parkingi, parki, place zabaw, przystanki transportu publicznego w odniesieniu do przestrzeni, którą włada podmiot publiczny. </w:t>
            </w:r>
          </w:p>
          <w:p w14:paraId="0AECEC22" w14:textId="6975368A" w:rsidR="00BA5F8A" w:rsidRPr="00957B06" w:rsidRDefault="00BA5F8A" w:rsidP="0005031D">
            <w:pPr>
              <w:widowControl/>
              <w:numPr>
                <w:ilvl w:val="0"/>
                <w:numId w:val="18"/>
              </w:numPr>
              <w:pBdr>
                <w:top w:val="nil"/>
                <w:left w:val="nil"/>
                <w:bottom w:val="nil"/>
                <w:right w:val="nil"/>
                <w:between w:val="nil"/>
              </w:pBdr>
              <w:suppressAutoHyphens/>
              <w:autoSpaceDE/>
              <w:spacing w:after="240" w:line="276" w:lineRule="auto"/>
              <w:ind w:left="426" w:hanging="426"/>
              <w:textAlignment w:val="baseline"/>
            </w:pPr>
            <w:r w:rsidRPr="00957B06">
              <w:t>Zmiany wymagają zapisy ustawy dotyczące dostępu alternatywnego tak, aby ograniczyć jego obecne nadmierne i  nieuzasadnione stosowanie.</w:t>
            </w:r>
          </w:p>
          <w:p w14:paraId="17A72DA0" w14:textId="53986556" w:rsidR="007031A8" w:rsidRPr="00957B06" w:rsidRDefault="00BA5F8A" w:rsidP="0005031D">
            <w:pPr>
              <w:widowControl/>
              <w:numPr>
                <w:ilvl w:val="0"/>
                <w:numId w:val="18"/>
              </w:numPr>
              <w:pBdr>
                <w:top w:val="nil"/>
                <w:left w:val="nil"/>
                <w:bottom w:val="nil"/>
                <w:right w:val="nil"/>
                <w:between w:val="nil"/>
              </w:pBdr>
              <w:suppressAutoHyphens/>
              <w:autoSpaceDE/>
              <w:spacing w:after="240" w:line="276" w:lineRule="auto"/>
              <w:ind w:left="426" w:hanging="426"/>
              <w:textAlignment w:val="baseline"/>
            </w:pPr>
            <w:r w:rsidRPr="00957B06">
              <w:t>N</w:t>
            </w:r>
            <w:r w:rsidR="007031A8" w:rsidRPr="00957B06">
              <w:t xml:space="preserve">ależy wzmacniać potencjał </w:t>
            </w:r>
            <w:r w:rsidRPr="00957B06">
              <w:t xml:space="preserve">organizacji pozarządowych </w:t>
            </w:r>
            <w:r w:rsidR="007031A8" w:rsidRPr="00957B06">
              <w:t xml:space="preserve">do realizacji działań w sposób dostępny </w:t>
            </w:r>
          </w:p>
          <w:p w14:paraId="7DE48DFB" w14:textId="1967AC91" w:rsidR="007031A8" w:rsidRPr="00957B06" w:rsidRDefault="00BA5F8A" w:rsidP="0005031D">
            <w:pPr>
              <w:pStyle w:val="Akapitzlist"/>
              <w:widowControl/>
              <w:numPr>
                <w:ilvl w:val="0"/>
                <w:numId w:val="18"/>
              </w:numPr>
              <w:suppressAutoHyphens/>
              <w:autoSpaceDE/>
              <w:spacing w:after="240" w:line="276" w:lineRule="auto"/>
              <w:ind w:left="426" w:right="0" w:hanging="426"/>
              <w:jc w:val="left"/>
              <w:textAlignment w:val="baseline"/>
            </w:pPr>
            <w:r w:rsidRPr="00957B06">
              <w:t>N</w:t>
            </w:r>
            <w:r w:rsidR="007031A8" w:rsidRPr="00957B06">
              <w:t>ależy wskazać wyraźny prymat zapewniania dostępności z uwzględnieniem uniwersalnego projektowania, a dopiero w przypadku braku takiej możliwości –</w:t>
            </w:r>
            <w:r w:rsidRPr="00957B06">
              <w:t xml:space="preserve"> </w:t>
            </w:r>
            <w:r w:rsidR="007031A8" w:rsidRPr="00957B06">
              <w:t xml:space="preserve">stosowanie racjonalnego usprawnienia. </w:t>
            </w:r>
          </w:p>
          <w:p w14:paraId="4427CBF9" w14:textId="63D4A5A1" w:rsidR="007031A8" w:rsidRPr="00957B06" w:rsidRDefault="007031A8" w:rsidP="0005031D">
            <w:pPr>
              <w:pStyle w:val="Akapitzlist"/>
              <w:widowControl/>
              <w:numPr>
                <w:ilvl w:val="0"/>
                <w:numId w:val="18"/>
              </w:numPr>
              <w:suppressAutoHyphens/>
              <w:autoSpaceDE/>
              <w:spacing w:after="240" w:line="276" w:lineRule="auto"/>
              <w:ind w:left="426" w:right="0" w:hanging="426"/>
              <w:jc w:val="left"/>
              <w:textAlignment w:val="baseline"/>
            </w:pPr>
            <w:r w:rsidRPr="00957B06">
              <w:t xml:space="preserve">Przepisy art. 6 są zbyt ogólne w odniesieniu do dostępności architektonicznej, co utrudnia ich skuteczne wdrażanie i rodzi konieczność przygotowania szczegółowych wytycznych w tym obszarze w formie </w:t>
            </w:r>
            <w:r w:rsidR="00BA5F8A" w:rsidRPr="00957B06">
              <w:t xml:space="preserve">np. </w:t>
            </w:r>
            <w:r w:rsidRPr="00957B06">
              <w:t>rozporządzenia lub wytycznych/standardów.</w:t>
            </w:r>
          </w:p>
          <w:p w14:paraId="45C8D79D" w14:textId="6F948B3F" w:rsidR="007031A8" w:rsidRPr="00957B06" w:rsidRDefault="007031A8" w:rsidP="0005031D">
            <w:pPr>
              <w:pStyle w:val="Akapitzlist"/>
              <w:widowControl/>
              <w:numPr>
                <w:ilvl w:val="0"/>
                <w:numId w:val="18"/>
              </w:numPr>
              <w:suppressAutoHyphens/>
              <w:autoSpaceDE/>
              <w:spacing w:after="240" w:line="276" w:lineRule="auto"/>
              <w:ind w:left="426" w:right="0" w:hanging="426"/>
              <w:jc w:val="left"/>
              <w:textAlignment w:val="baseline"/>
            </w:pPr>
            <w:r w:rsidRPr="00957B06">
              <w:lastRenderedPageBreak/>
              <w:t>Występują różnice w stosowaniu i interpretacji przepisów przez poszczególne podmioty zobowiązane</w:t>
            </w:r>
            <w:r w:rsidR="00BA5F8A" w:rsidRPr="00957B06">
              <w:t xml:space="preserve">, co </w:t>
            </w:r>
            <w:r w:rsidRPr="00957B06">
              <w:t xml:space="preserve">powoduje konieczność realizacji działań podnoszących kompetencje osób wdrażających przepisy </w:t>
            </w:r>
            <w:proofErr w:type="spellStart"/>
            <w:r w:rsidRPr="00957B06">
              <w:t>dostępnościowe</w:t>
            </w:r>
            <w:proofErr w:type="spellEnd"/>
            <w:r w:rsidRPr="00957B06">
              <w:t xml:space="preserve">. Przedmiotowe działanie przyczyni się do zapewnienia jednolitej interpretacji i standaryzacji działań w ramach wdrażania dostępności. </w:t>
            </w:r>
          </w:p>
          <w:p w14:paraId="23121285" w14:textId="77777777" w:rsidR="007031A8" w:rsidRPr="00957B06" w:rsidRDefault="007031A8" w:rsidP="0005031D">
            <w:pPr>
              <w:pStyle w:val="Akapitzlist"/>
              <w:widowControl/>
              <w:numPr>
                <w:ilvl w:val="0"/>
                <w:numId w:val="18"/>
              </w:numPr>
              <w:suppressAutoHyphens/>
              <w:autoSpaceDE/>
              <w:spacing w:after="240" w:line="276" w:lineRule="auto"/>
              <w:ind w:left="426" w:right="0" w:hanging="426"/>
              <w:jc w:val="left"/>
              <w:textAlignment w:val="baseline"/>
            </w:pPr>
            <w:r w:rsidRPr="00957B06">
              <w:t>Dla pełnego wdrożenia przepisów dostępności, ale także dla nadania jej odpowiedniej rangi, rozumianej jako podstawy wszelkich działań podejmowanych przez podmioty publiczne istotne jest wskazanie w przepisach o samorządzie gminnym, powiatowym i wojewódzkim zapewniania dostępności jako zadania własnego tych podmiotów.</w:t>
            </w:r>
          </w:p>
          <w:p w14:paraId="06291A5E" w14:textId="46CE21AD" w:rsidR="007031A8" w:rsidRPr="00957B06" w:rsidRDefault="007031A8" w:rsidP="0005031D">
            <w:pPr>
              <w:pStyle w:val="Akapitzlist"/>
              <w:widowControl/>
              <w:numPr>
                <w:ilvl w:val="0"/>
                <w:numId w:val="18"/>
              </w:numPr>
              <w:suppressAutoHyphens/>
              <w:autoSpaceDE/>
              <w:spacing w:after="240" w:line="276" w:lineRule="auto"/>
              <w:ind w:left="426" w:right="0" w:hanging="426"/>
              <w:jc w:val="left"/>
              <w:textAlignment w:val="baseline"/>
              <w:outlineLvl w:val="8"/>
            </w:pPr>
            <w:r w:rsidRPr="00957B06">
              <w:t>Kluczowym źródłem motywacji podmiotów do wdrażania dostępności jest obawa przed nałożeniem sankcji za niestosowanie przepisów ustawy. Bazując na tym</w:t>
            </w:r>
            <w:r w:rsidR="00BA5F8A" w:rsidRPr="00957B06">
              <w:t>,</w:t>
            </w:r>
            <w:r w:rsidRPr="00957B06">
              <w:t xml:space="preserve"> rekomenduje się istotne wzmocnienie systemu sankcyjnego dzięki wprowadzeniu dodatkowych sankcji </w:t>
            </w:r>
            <w:r w:rsidR="00BA5F8A" w:rsidRPr="00957B06">
              <w:t xml:space="preserve">m.in. </w:t>
            </w:r>
            <w:r w:rsidRPr="00957B06">
              <w:t xml:space="preserve">za brak powołania ds. dostępności oraz brak planu na rzecz poprawy zapewniania dostępności oraz składania raportu o stanie zapewniania dostępności. </w:t>
            </w:r>
          </w:p>
          <w:p w14:paraId="4BCCB0E4" w14:textId="4A7E6247" w:rsidR="007031A8" w:rsidRPr="00957B06" w:rsidRDefault="007031A8" w:rsidP="0005031D">
            <w:pPr>
              <w:pStyle w:val="Akapitzlist"/>
              <w:widowControl/>
              <w:numPr>
                <w:ilvl w:val="0"/>
                <w:numId w:val="18"/>
              </w:numPr>
              <w:autoSpaceDE/>
              <w:autoSpaceDN/>
              <w:spacing w:after="240" w:line="276" w:lineRule="auto"/>
              <w:ind w:left="426" w:right="0" w:hanging="426"/>
              <w:jc w:val="left"/>
              <w:outlineLvl w:val="8"/>
            </w:pPr>
            <w:r w:rsidRPr="00957B06">
              <w:t>Podmioty publiczne rzadko wprowadzają zapisy dotyczące dostępności w dokumentacji zlecania zadań publicznych, a jeśli już to robią, to często w sposób lakoniczny lub niejednoznaczny.</w:t>
            </w:r>
            <w:r w:rsidR="00761DAE" w:rsidRPr="00957B06">
              <w:t xml:space="preserve"> </w:t>
            </w:r>
            <w:r w:rsidR="00BA5F8A" w:rsidRPr="00957B06">
              <w:t xml:space="preserve">Mechanizm zlecania zadań wymaga korekty. </w:t>
            </w:r>
          </w:p>
          <w:p w14:paraId="767A1C8C" w14:textId="333E53B0" w:rsidR="007031A8" w:rsidRPr="00957B06" w:rsidRDefault="007031A8" w:rsidP="0005031D">
            <w:pPr>
              <w:pStyle w:val="NormalnyWeb"/>
              <w:numPr>
                <w:ilvl w:val="0"/>
                <w:numId w:val="18"/>
              </w:numPr>
              <w:spacing w:before="0" w:beforeAutospacing="0" w:after="240" w:afterAutospacing="0" w:line="276" w:lineRule="auto"/>
              <w:ind w:left="426" w:hanging="426"/>
              <w:outlineLvl w:val="8"/>
              <w:rPr>
                <w:sz w:val="22"/>
                <w:szCs w:val="22"/>
                <w:lang w:eastAsia="en-US"/>
              </w:rPr>
            </w:pPr>
            <w:r w:rsidRPr="00957B06">
              <w:rPr>
                <w:sz w:val="22"/>
                <w:szCs w:val="22"/>
                <w:lang w:eastAsia="en-US"/>
              </w:rPr>
              <w:t xml:space="preserve">Konieczne jest wzmocnienie roli Ministerstwa Funduszy i Polityki Regionalnej i zintensyfikowanie prowadzonych przez nie działań monitoringowych oraz informacyjno-edukacyjnych wobec podmiotów zobowiązanych do stosowania ustawy. </w:t>
            </w:r>
          </w:p>
          <w:p w14:paraId="0E21F16F" w14:textId="4D7DF0B6" w:rsidR="007031A8" w:rsidRPr="00957B06" w:rsidRDefault="007031A8" w:rsidP="0005031D">
            <w:pPr>
              <w:pStyle w:val="NormalnyWeb"/>
              <w:numPr>
                <w:ilvl w:val="0"/>
                <w:numId w:val="18"/>
              </w:numPr>
              <w:spacing w:before="0" w:beforeAutospacing="0" w:after="240" w:afterAutospacing="0" w:line="276" w:lineRule="auto"/>
              <w:ind w:left="426" w:hanging="426"/>
              <w:outlineLvl w:val="8"/>
              <w:rPr>
                <w:sz w:val="22"/>
                <w:szCs w:val="22"/>
                <w:lang w:eastAsia="en-US"/>
              </w:rPr>
            </w:pPr>
            <w:r w:rsidRPr="00957B06">
              <w:rPr>
                <w:sz w:val="22"/>
                <w:szCs w:val="22"/>
                <w:lang w:eastAsia="en-US"/>
              </w:rPr>
              <w:t>Niezbędne jest wzmocnienie i przeformułowanie części zadań koordynatora ds. dostępności w sposób pokazujący, że osoba ta realizuje funkcje koordynacyjne, a nie odpowiada na faktyczną realizację poszczególnych działań w różnych obszarach działalności instytucji. Ustawa powinna wyraźniej zaznaczyć odpowiedzialność kadry zarządzającej za realizację obowiązków ustawowych w zakresie wdrażania dostępności (np. za składanie raportów, przygotowywanie planów na rzecz poprawy zapewniania dostępności).</w:t>
            </w:r>
          </w:p>
          <w:p w14:paraId="74622E6E" w14:textId="34CBCF71" w:rsidR="007031A8" w:rsidRPr="00957B06" w:rsidRDefault="007031A8" w:rsidP="0005031D">
            <w:pPr>
              <w:pStyle w:val="Akapitzlist"/>
              <w:widowControl/>
              <w:numPr>
                <w:ilvl w:val="0"/>
                <w:numId w:val="18"/>
              </w:numPr>
              <w:suppressAutoHyphens/>
              <w:autoSpaceDE/>
              <w:spacing w:after="240" w:line="276" w:lineRule="auto"/>
              <w:ind w:left="426" w:right="0" w:hanging="426"/>
              <w:jc w:val="left"/>
              <w:textAlignment w:val="baseline"/>
              <w:outlineLvl w:val="8"/>
            </w:pPr>
            <w:r w:rsidRPr="00957B06">
              <w:t xml:space="preserve">Niewielka liczba certyfikatów dostępności wynika </w:t>
            </w:r>
            <w:r w:rsidR="00BA5F8A" w:rsidRPr="00957B06">
              <w:t xml:space="preserve">m.in.  </w:t>
            </w:r>
            <w:r w:rsidRPr="00957B06">
              <w:t xml:space="preserve">z braku przekonania o korzyściach płynących z posiadania </w:t>
            </w:r>
            <w:r w:rsidR="00BA5F8A" w:rsidRPr="00957B06">
              <w:t xml:space="preserve">takiego </w:t>
            </w:r>
            <w:r w:rsidRPr="00957B06">
              <w:t>certyfikatu i ich realnej wartości dla prowadzonej działalności.</w:t>
            </w:r>
            <w:r w:rsidR="00761DAE" w:rsidRPr="00957B06">
              <w:t xml:space="preserve"> </w:t>
            </w:r>
            <w:r w:rsidRPr="00957B06">
              <w:t>Aby zwiększyć zainteresowanie certyfikacją, konieczne jest wprowadzenie nowych zachęt do ubiegania się o certyfikat dostępności oraz standaryzowanie procedury certyfikacyjnej.</w:t>
            </w:r>
          </w:p>
          <w:p w14:paraId="42021160" w14:textId="1B1DE989" w:rsidR="007031A8" w:rsidRPr="00957B06" w:rsidRDefault="007031A8" w:rsidP="0005031D">
            <w:pPr>
              <w:pStyle w:val="Akapitzlist"/>
              <w:widowControl/>
              <w:numPr>
                <w:ilvl w:val="0"/>
                <w:numId w:val="18"/>
              </w:numPr>
              <w:suppressAutoHyphens/>
              <w:autoSpaceDE/>
              <w:spacing w:after="240" w:line="276" w:lineRule="auto"/>
              <w:ind w:left="426" w:right="0" w:hanging="426"/>
              <w:jc w:val="left"/>
              <w:textAlignment w:val="baseline"/>
              <w:outlineLvl w:val="8"/>
            </w:pPr>
            <w:r w:rsidRPr="00957B06">
              <w:t>Niewielka liczba skarg wynika przede wszystkim z braku świadomości prawnej i wiedzy w zakresie ustawy wśród osób ze szczególnymi potrzebami oraz niewłaściwego podejścia podmiotów zobowiązanych do stosowania tych procedur.</w:t>
            </w:r>
            <w:r w:rsidR="00761DAE" w:rsidRPr="00957B06">
              <w:t xml:space="preserve"> </w:t>
            </w:r>
            <w:r w:rsidRPr="00957B06">
              <w:t>Osoby ze szczególnymi potrzebami często obawiają się negatywnych konsekwencji ze strony podmiotów publicznych, w których mogą wnioskować o zapewnienie dostępności lub na których działanie złożyłyby skargę, dlatego niezbędne jest zapewnienie dodatkowej opcji występowania w procedurze skargowej przez NGO, dzięki czemu możliwe byłoby zniwelowanie tego ryzyka identyfikowanego przez tę grupę.</w:t>
            </w:r>
          </w:p>
          <w:p w14:paraId="0280219E" w14:textId="7D563FD6" w:rsidR="009C15F8" w:rsidRPr="00957B06" w:rsidRDefault="007031A8" w:rsidP="0005031D">
            <w:pPr>
              <w:pStyle w:val="Akapitzlist"/>
              <w:widowControl/>
              <w:numPr>
                <w:ilvl w:val="0"/>
                <w:numId w:val="18"/>
              </w:numPr>
              <w:suppressAutoHyphens/>
              <w:autoSpaceDE/>
              <w:spacing w:after="240" w:line="276" w:lineRule="auto"/>
              <w:ind w:left="426" w:right="0" w:hanging="426"/>
              <w:jc w:val="left"/>
              <w:textAlignment w:val="baseline"/>
              <w:outlineLvl w:val="8"/>
            </w:pPr>
            <w:r w:rsidRPr="00957B06">
              <w:t>Zastosowany w Funduszu Dostępności mechanizm pożyczkowy stanowi istotne ograniczenie dla podmiotów o ograniczonych zasobach i niestabilnej sytuacji finansowej.</w:t>
            </w:r>
            <w:r w:rsidR="00761DAE" w:rsidRPr="00957B06">
              <w:t xml:space="preserve"> </w:t>
            </w:r>
            <w:r w:rsidR="00BA5F8A" w:rsidRPr="00957B06">
              <w:t>Z</w:t>
            </w:r>
            <w:r w:rsidRPr="00957B06">
              <w:t xml:space="preserve"> FD korzystają głównie spółdzielnie mieszkaniowe, wspólnoty mieszkaniowe, dlatego istnieje potrzeba rozszerzenia zakresu podmiotowego </w:t>
            </w:r>
            <w:r w:rsidRPr="00957B06">
              <w:lastRenderedPageBreak/>
              <w:t>funduszu, aby objąć nim szerzej organizacje pozarządowe oraz małe i średnie przedsiębiorstwa</w:t>
            </w:r>
            <w:r w:rsidR="00BA5F8A" w:rsidRPr="00957B06">
              <w:t xml:space="preserve">. </w:t>
            </w:r>
            <w:r w:rsidRPr="00957B06">
              <w:t>Niezbędne jest stworzenie preferencyjnych warunków do korzystania z Funduszu przez podmioty samorządowe z terenów wiejskich i małomiasteczkowych.</w:t>
            </w:r>
            <w:r w:rsidR="00761DAE" w:rsidRPr="00957B06">
              <w:t xml:space="preserve"> </w:t>
            </w:r>
            <w:r w:rsidR="00BA5F8A" w:rsidRPr="00957B06">
              <w:t>W</w:t>
            </w:r>
            <w:r w:rsidRPr="00957B06">
              <w:t xml:space="preserve">ysokość środków w dyspozycji </w:t>
            </w:r>
            <w:r w:rsidR="00CD5EBC" w:rsidRPr="00957B06">
              <w:t>F</w:t>
            </w:r>
            <w:r w:rsidRPr="00957B06">
              <w:t>unduszu jest niewystarczająca w stosunku do potrzeb, co sugeruje konieczność ich radykalnego zwiększenia.</w:t>
            </w:r>
          </w:p>
        </w:tc>
      </w:tr>
      <w:tr w:rsidR="009C15F8" w:rsidRPr="00957B06" w14:paraId="4040299B" w14:textId="77777777">
        <w:trPr>
          <w:trHeight w:val="372"/>
        </w:trPr>
        <w:tc>
          <w:tcPr>
            <w:tcW w:w="11057" w:type="dxa"/>
            <w:gridSpan w:val="2"/>
            <w:shd w:val="clear" w:color="auto" w:fill="53A824"/>
          </w:tcPr>
          <w:p w14:paraId="0C2345F9" w14:textId="77777777" w:rsidR="009C15F8" w:rsidRPr="00957B06" w:rsidRDefault="00E06656">
            <w:pPr>
              <w:pStyle w:val="TableParagraph"/>
              <w:spacing w:before="60"/>
              <w:ind w:left="141"/>
              <w:rPr>
                <w:b/>
              </w:rPr>
            </w:pPr>
            <w:r w:rsidRPr="00957B06">
              <w:rPr>
                <w:b/>
              </w:rPr>
              <w:lastRenderedPageBreak/>
              <w:t>9.</w:t>
            </w:r>
            <w:r w:rsidRPr="00957B06">
              <w:rPr>
                <w:b/>
                <w:spacing w:val="57"/>
              </w:rPr>
              <w:t xml:space="preserve"> </w:t>
            </w:r>
            <w:r w:rsidRPr="00957B06">
              <w:rPr>
                <w:b/>
              </w:rPr>
              <w:t>Pozostałe</w:t>
            </w:r>
            <w:r w:rsidRPr="00957B06">
              <w:rPr>
                <w:b/>
                <w:spacing w:val="-1"/>
              </w:rPr>
              <w:t xml:space="preserve"> </w:t>
            </w:r>
            <w:r w:rsidRPr="00957B06">
              <w:rPr>
                <w:b/>
              </w:rPr>
              <w:t>wnioski</w:t>
            </w:r>
            <w:r w:rsidRPr="00957B06">
              <w:rPr>
                <w:b/>
                <w:spacing w:val="-4"/>
              </w:rPr>
              <w:t xml:space="preserve"> </w:t>
            </w:r>
            <w:r w:rsidRPr="00957B06">
              <w:rPr>
                <w:b/>
              </w:rPr>
              <w:t>wynikające</w:t>
            </w:r>
            <w:r w:rsidRPr="00957B06">
              <w:rPr>
                <w:b/>
                <w:spacing w:val="-1"/>
              </w:rPr>
              <w:t xml:space="preserve"> </w:t>
            </w:r>
            <w:r w:rsidRPr="00957B06">
              <w:rPr>
                <w:b/>
              </w:rPr>
              <w:t>z</w:t>
            </w:r>
            <w:r w:rsidRPr="00957B06">
              <w:rPr>
                <w:b/>
                <w:spacing w:val="-3"/>
              </w:rPr>
              <w:t xml:space="preserve"> </w:t>
            </w:r>
            <w:r w:rsidRPr="00957B06">
              <w:rPr>
                <w:b/>
              </w:rPr>
              <w:t>dotychczasowego</w:t>
            </w:r>
            <w:r w:rsidRPr="00957B06">
              <w:rPr>
                <w:b/>
                <w:spacing w:val="-3"/>
              </w:rPr>
              <w:t xml:space="preserve"> </w:t>
            </w:r>
            <w:r w:rsidRPr="00957B06">
              <w:rPr>
                <w:b/>
              </w:rPr>
              <w:t>funkcjonowania</w:t>
            </w:r>
            <w:r w:rsidRPr="00957B06">
              <w:rPr>
                <w:b/>
                <w:spacing w:val="-2"/>
              </w:rPr>
              <w:t xml:space="preserve"> ustawy</w:t>
            </w:r>
          </w:p>
        </w:tc>
      </w:tr>
      <w:tr w:rsidR="009C15F8" w:rsidRPr="00957B06" w14:paraId="370BCC20" w14:textId="77777777">
        <w:trPr>
          <w:trHeight w:val="3541"/>
        </w:trPr>
        <w:tc>
          <w:tcPr>
            <w:tcW w:w="11057" w:type="dxa"/>
            <w:gridSpan w:val="2"/>
          </w:tcPr>
          <w:p w14:paraId="7A65493C" w14:textId="152D1462" w:rsidR="00592518" w:rsidRPr="00957B06" w:rsidRDefault="00592518" w:rsidP="00353177">
            <w:pPr>
              <w:spacing w:after="120" w:line="276" w:lineRule="auto"/>
            </w:pPr>
            <w:r w:rsidRPr="00957B06">
              <w:t>Ustawa o zapewnianiu dostępności osobom ze szczególnymi potrzebami stanowi solidne podwaliny dla rozwoju dostępności w szerokim ujęciu społeczno-gospodarczym w całym kraju. Nie działa ona jednak w próżni ale stanowi element szerszych działań i rozwiązań ujętych w innych aktach prawnych czy dokumentach o charakterze strategicznym. Zaliczyć do nich można przede wszystkim:</w:t>
            </w:r>
          </w:p>
          <w:p w14:paraId="79AC7C3C" w14:textId="66710DDB" w:rsidR="00592518" w:rsidRPr="00957B06" w:rsidRDefault="00592518" w:rsidP="00592518">
            <w:pPr>
              <w:pStyle w:val="Akapitzlist"/>
              <w:numPr>
                <w:ilvl w:val="0"/>
                <w:numId w:val="36"/>
              </w:numPr>
              <w:spacing w:after="120" w:line="276" w:lineRule="auto"/>
            </w:pPr>
            <w:r w:rsidRPr="00957B06">
              <w:t>Ustawę o dostępności cyfrowej</w:t>
            </w:r>
          </w:p>
          <w:p w14:paraId="5EE8512A" w14:textId="0F9FBC0B" w:rsidR="00592518" w:rsidRPr="00957B06" w:rsidRDefault="00592518" w:rsidP="00592518">
            <w:pPr>
              <w:pStyle w:val="Akapitzlist"/>
              <w:numPr>
                <w:ilvl w:val="0"/>
                <w:numId w:val="36"/>
              </w:numPr>
              <w:spacing w:after="120" w:line="276" w:lineRule="auto"/>
              <w:rPr>
                <w:rStyle w:val="Pogrubienie"/>
                <w:b w:val="0"/>
                <w:bCs w:val="0"/>
              </w:rPr>
            </w:pPr>
            <w:r w:rsidRPr="00957B06">
              <w:rPr>
                <w:rStyle w:val="Pogrubienie"/>
                <w:b w:val="0"/>
                <w:bCs w:val="0"/>
              </w:rPr>
              <w:t>Ustawa o zapewnianiu spełniania wymagań dostępności niektórych produktów i usług przez podmioty gospodarcze</w:t>
            </w:r>
          </w:p>
          <w:p w14:paraId="138949DA" w14:textId="5C22B91B" w:rsidR="00592518" w:rsidRPr="00957B06" w:rsidRDefault="00592518" w:rsidP="00592518">
            <w:pPr>
              <w:pStyle w:val="Akapitzlist"/>
              <w:numPr>
                <w:ilvl w:val="0"/>
                <w:numId w:val="36"/>
              </w:numPr>
              <w:spacing w:after="120" w:line="276" w:lineRule="auto"/>
              <w:rPr>
                <w:rStyle w:val="Pogrubienie"/>
                <w:b w:val="0"/>
                <w:bCs w:val="0"/>
              </w:rPr>
            </w:pPr>
            <w:r w:rsidRPr="00957B06">
              <w:rPr>
                <w:rStyle w:val="Pogrubienie"/>
                <w:b w:val="0"/>
                <w:bCs w:val="0"/>
              </w:rPr>
              <w:t>Rządowy program Dostępność Plus (obecnie zakończony)</w:t>
            </w:r>
          </w:p>
          <w:p w14:paraId="1B126349" w14:textId="00265548" w:rsidR="00592518" w:rsidRPr="00957B06" w:rsidRDefault="00592518" w:rsidP="002151B6">
            <w:pPr>
              <w:pStyle w:val="Akapitzlist"/>
              <w:numPr>
                <w:ilvl w:val="0"/>
                <w:numId w:val="36"/>
              </w:numPr>
              <w:spacing w:after="120" w:line="276" w:lineRule="auto"/>
            </w:pPr>
            <w:r w:rsidRPr="00957B06">
              <w:rPr>
                <w:rStyle w:val="Pogrubienie"/>
                <w:b w:val="0"/>
                <w:bCs w:val="0"/>
              </w:rPr>
              <w:t xml:space="preserve">Strategię na rzecz Osób z Niepełnosprawnościami do 2030r. </w:t>
            </w:r>
          </w:p>
          <w:p w14:paraId="7614F4D8" w14:textId="32B1F157" w:rsidR="00592518" w:rsidRPr="00957B06" w:rsidRDefault="00724F08" w:rsidP="00353177">
            <w:pPr>
              <w:spacing w:after="120" w:line="276" w:lineRule="auto"/>
            </w:pPr>
            <w:r w:rsidRPr="00957B06">
              <w:t xml:space="preserve">Przyjęcie i realizacja ustawy dało  </w:t>
            </w:r>
            <w:r w:rsidR="0005031D">
              <w:t>kluczowy</w:t>
            </w:r>
            <w:r w:rsidR="00592518" w:rsidRPr="00957B06">
              <w:t xml:space="preserve"> </w:t>
            </w:r>
            <w:r w:rsidRPr="00957B06">
              <w:t xml:space="preserve"> </w:t>
            </w:r>
            <w:r w:rsidR="00592518" w:rsidRPr="00957B06">
              <w:t xml:space="preserve">impuls do zmian systemowych. O ile wcześniej działania związane z zapewnianiem dostępności miały fragmentaryczny i wycinkowy charakter (np. projekty unijne, ustawa o języku migowym, ustawa o rehabilitacji zawodowej i społecznej osób niepełnosprawnych), o tyle nowa ustawa przygotowała cały zestaw narzędzi do  traktowania usług i miejsc publicznych jako nośnika takich wartości jak: równość, samodzielne życie, niezależność czy sprawiedliwość społeczna. Ustawa pozwoliła na ich zakorzenienie w praktyce działania organów administracji publicznej, dając osobom ze szczególnymi potrzebami </w:t>
            </w:r>
            <w:r w:rsidR="00BE6642">
              <w:t>istotne</w:t>
            </w:r>
            <w:r w:rsidR="00592518" w:rsidRPr="00957B06">
              <w:t xml:space="preserve"> narzędzie do </w:t>
            </w:r>
            <w:r w:rsidR="006C6076">
              <w:t>egzekwowania</w:t>
            </w:r>
            <w:r w:rsidR="00592518" w:rsidRPr="00957B06">
              <w:t xml:space="preserve"> własnych praw. </w:t>
            </w:r>
          </w:p>
          <w:p w14:paraId="7888E6D1" w14:textId="3B2BF48F" w:rsidR="009C15F8" w:rsidRPr="00957B06" w:rsidRDefault="00D92E01" w:rsidP="00353177">
            <w:pPr>
              <w:spacing w:after="120" w:line="276" w:lineRule="auto"/>
            </w:pPr>
            <w:r>
              <w:t>E</w:t>
            </w:r>
            <w:r w:rsidR="00592518" w:rsidRPr="00957B06">
              <w:t xml:space="preserve">lementem odróżniającym ten akt prawny od </w:t>
            </w:r>
            <w:r w:rsidR="009A0346" w:rsidRPr="00957B06">
              <w:t>dotychczasowych</w:t>
            </w:r>
            <w:r w:rsidR="00592518" w:rsidRPr="00957B06">
              <w:t xml:space="preserve"> </w:t>
            </w:r>
            <w:r w:rsidR="009A0346" w:rsidRPr="00957B06">
              <w:t>rozwiązań</w:t>
            </w:r>
            <w:r w:rsidR="00592518" w:rsidRPr="00957B06">
              <w:t xml:space="preserve"> z zakresu </w:t>
            </w:r>
            <w:r w:rsidR="00CB07A3" w:rsidRPr="00957B06">
              <w:t>dostępności</w:t>
            </w:r>
            <w:r w:rsidR="00592518" w:rsidRPr="00957B06">
              <w:t xml:space="preserve"> było potraktowanie jej jako reguły, zasady </w:t>
            </w:r>
            <w:r w:rsidR="00CB07A3" w:rsidRPr="00957B06">
              <w:t>realizacji</w:t>
            </w:r>
            <w:r w:rsidR="00592518" w:rsidRPr="00957B06">
              <w:t xml:space="preserve"> usług publicznych ale </w:t>
            </w:r>
            <w:r w:rsidR="009A0346" w:rsidRPr="00957B06">
              <w:t>służącej</w:t>
            </w:r>
            <w:r w:rsidR="00592518" w:rsidRPr="00957B06">
              <w:t xml:space="preserve"> wszystkim obywatelom a nie wyłącznie osobom z niepełnosprawnościami. Zarówno szerokie ujęcie definicji „</w:t>
            </w:r>
            <w:r w:rsidR="009A0346" w:rsidRPr="00957B06">
              <w:t>szczególnych</w:t>
            </w:r>
            <w:r w:rsidR="00592518" w:rsidRPr="00957B06">
              <w:t xml:space="preserve"> potrzeb” jak i </w:t>
            </w:r>
            <w:r w:rsidR="009A0346" w:rsidRPr="00957B06">
              <w:t xml:space="preserve">używanie pojęcia uniwersalnego projektowania miały na celu pokazanie, że z tych rozwiązań korzystają wszyscy – w sposób mniej lub bardziej świadomy. Po kilku latach idea ta tylko częściowo przeniknęła do świadomości społecznej czy podmiotów zobowiązanych ustawą, uzasadniając konieczność dalszego wzmacniania działań świadomościowych i edukacyjnych. Wciąż w dyskusjach o tych przepisach pojawiają się argumenty „takich osób u nas nie ma” „te osoby do nas nie przychodzą” – choć jest to znacznie mniejsza skala niż na początku wdrażania przepisów </w:t>
            </w:r>
            <w:r w:rsidR="00CB07A3" w:rsidRPr="00957B06">
              <w:t xml:space="preserve">przedmiotowej </w:t>
            </w:r>
            <w:r w:rsidR="009A0346" w:rsidRPr="00957B06">
              <w:t xml:space="preserve">ustawy.  </w:t>
            </w:r>
          </w:p>
        </w:tc>
      </w:tr>
    </w:tbl>
    <w:p w14:paraId="5AA2A630" w14:textId="77777777" w:rsidR="009C15F8" w:rsidRPr="00957B06" w:rsidRDefault="009C15F8">
      <w:pPr>
        <w:spacing w:line="250" w:lineRule="atLeast"/>
        <w:jc w:val="both"/>
        <w:sectPr w:rsidR="009C15F8" w:rsidRPr="00957B06">
          <w:pgSz w:w="11910" w:h="16840"/>
          <w:pgMar w:top="520" w:right="300" w:bottom="280" w:left="320" w:header="708" w:footer="708" w:gutter="0"/>
          <w:cols w:space="708"/>
        </w:sectPr>
      </w:pPr>
    </w:p>
    <w:p w14:paraId="2CCE72FA" w14:textId="77777777" w:rsidR="009C15F8" w:rsidRPr="00957B06" w:rsidRDefault="009C15F8">
      <w:pPr>
        <w:pStyle w:val="Tekstpodstawowy"/>
        <w:spacing w:before="7"/>
        <w:rPr>
          <w:sz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57"/>
      </w:tblGrid>
      <w:tr w:rsidR="009C15F8" w:rsidRPr="00957B06" w14:paraId="40B8E789" w14:textId="77777777" w:rsidTr="00EF4BBF">
        <w:trPr>
          <w:trHeight w:val="70"/>
        </w:trPr>
        <w:tc>
          <w:tcPr>
            <w:tcW w:w="11057" w:type="dxa"/>
          </w:tcPr>
          <w:p w14:paraId="1B12F11F" w14:textId="20A67F5F" w:rsidR="00EF4BBF" w:rsidRPr="00957B06" w:rsidRDefault="00EF4BBF" w:rsidP="00EF4BBF">
            <w:pPr>
              <w:tabs>
                <w:tab w:val="left" w:pos="1500"/>
              </w:tabs>
            </w:pPr>
          </w:p>
        </w:tc>
      </w:tr>
      <w:tr w:rsidR="009C15F8" w:rsidRPr="00957B06" w14:paraId="183A64A6" w14:textId="77777777">
        <w:trPr>
          <w:trHeight w:val="372"/>
        </w:trPr>
        <w:tc>
          <w:tcPr>
            <w:tcW w:w="11057" w:type="dxa"/>
            <w:shd w:val="clear" w:color="auto" w:fill="53A824"/>
          </w:tcPr>
          <w:p w14:paraId="1097523B" w14:textId="77777777" w:rsidR="009C15F8" w:rsidRPr="00957B06" w:rsidRDefault="00E06656">
            <w:pPr>
              <w:pStyle w:val="TableParagraph"/>
              <w:spacing w:before="60"/>
              <w:ind w:left="141"/>
              <w:rPr>
                <w:b/>
              </w:rPr>
            </w:pPr>
            <w:r w:rsidRPr="00957B06">
              <w:rPr>
                <w:b/>
              </w:rPr>
              <w:t>10.</w:t>
            </w:r>
            <w:r w:rsidRPr="00957B06">
              <w:rPr>
                <w:b/>
                <w:spacing w:val="1"/>
              </w:rPr>
              <w:t xml:space="preserve"> </w:t>
            </w:r>
            <w:r w:rsidRPr="00957B06">
              <w:rPr>
                <w:b/>
              </w:rPr>
              <w:t>Rekomendacje</w:t>
            </w:r>
            <w:r w:rsidRPr="00957B06">
              <w:rPr>
                <w:b/>
                <w:spacing w:val="-3"/>
              </w:rPr>
              <w:t xml:space="preserve"> </w:t>
            </w:r>
            <w:r w:rsidRPr="00957B06">
              <w:rPr>
                <w:b/>
              </w:rPr>
              <w:t>członka</w:t>
            </w:r>
            <w:r w:rsidRPr="00957B06">
              <w:rPr>
                <w:b/>
                <w:spacing w:val="-5"/>
              </w:rPr>
              <w:t xml:space="preserve"> </w:t>
            </w:r>
            <w:r w:rsidRPr="00957B06">
              <w:rPr>
                <w:b/>
              </w:rPr>
              <w:t>Rady</w:t>
            </w:r>
            <w:r w:rsidRPr="00957B06">
              <w:rPr>
                <w:b/>
                <w:spacing w:val="-4"/>
              </w:rPr>
              <w:t xml:space="preserve"> </w:t>
            </w:r>
            <w:r w:rsidRPr="00957B06">
              <w:rPr>
                <w:b/>
              </w:rPr>
              <w:t>Ministrów</w:t>
            </w:r>
            <w:r w:rsidRPr="00957B06">
              <w:rPr>
                <w:b/>
                <w:spacing w:val="-6"/>
              </w:rPr>
              <w:t xml:space="preserve"> </w:t>
            </w:r>
            <w:r w:rsidRPr="00957B06">
              <w:rPr>
                <w:b/>
              </w:rPr>
              <w:t>dotyczące</w:t>
            </w:r>
            <w:r w:rsidRPr="00957B06">
              <w:rPr>
                <w:b/>
                <w:spacing w:val="-6"/>
              </w:rPr>
              <w:t xml:space="preserve"> </w:t>
            </w:r>
            <w:r w:rsidRPr="00957B06">
              <w:rPr>
                <w:b/>
              </w:rPr>
              <w:t>dalszych</w:t>
            </w:r>
            <w:r w:rsidRPr="00957B06">
              <w:rPr>
                <w:b/>
                <w:spacing w:val="-5"/>
              </w:rPr>
              <w:t xml:space="preserve"> </w:t>
            </w:r>
            <w:r w:rsidRPr="00957B06">
              <w:rPr>
                <w:b/>
                <w:spacing w:val="-2"/>
              </w:rPr>
              <w:t>działań</w:t>
            </w:r>
          </w:p>
        </w:tc>
      </w:tr>
      <w:tr w:rsidR="009C15F8" w:rsidRPr="00957B06" w14:paraId="48EB19DB" w14:textId="77777777">
        <w:trPr>
          <w:trHeight w:val="1597"/>
        </w:trPr>
        <w:tc>
          <w:tcPr>
            <w:tcW w:w="11057" w:type="dxa"/>
          </w:tcPr>
          <w:p w14:paraId="5699E246" w14:textId="06A8B706" w:rsidR="00BC08ED" w:rsidRPr="00957B06" w:rsidRDefault="00BC08ED" w:rsidP="00BC08ED">
            <w:pPr>
              <w:pStyle w:val="Tekstkomentarza"/>
              <w:rPr>
                <w:sz w:val="22"/>
                <w:szCs w:val="22"/>
              </w:rPr>
            </w:pPr>
            <w:r w:rsidRPr="00957B06">
              <w:rPr>
                <w:sz w:val="22"/>
                <w:szCs w:val="22"/>
              </w:rPr>
              <w:t>Sześć lat wdrażania ustawy pozwoliło na uruchomienie</w:t>
            </w:r>
            <w:r w:rsidR="00CB07A3" w:rsidRPr="00957B06">
              <w:rPr>
                <w:sz w:val="22"/>
                <w:szCs w:val="22"/>
              </w:rPr>
              <w:t xml:space="preserve"> i sprawdzenie w praktyce</w:t>
            </w:r>
            <w:r w:rsidRPr="00957B06">
              <w:rPr>
                <w:sz w:val="22"/>
                <w:szCs w:val="22"/>
              </w:rPr>
              <w:t xml:space="preserve"> wszystkich mechanizmów i narzędzi </w:t>
            </w:r>
            <w:r w:rsidR="00BA5F8A" w:rsidRPr="00957B06">
              <w:rPr>
                <w:sz w:val="22"/>
                <w:szCs w:val="22"/>
              </w:rPr>
              <w:t xml:space="preserve">w niej </w:t>
            </w:r>
            <w:r w:rsidRPr="00957B06">
              <w:rPr>
                <w:sz w:val="22"/>
                <w:szCs w:val="22"/>
              </w:rPr>
              <w:t>przewidzianych oraz przetestowanie ich skuteczności. Okres ten pozwala na sformułowanie wniosków</w:t>
            </w:r>
            <w:r w:rsidR="00CB07A3" w:rsidRPr="00957B06">
              <w:rPr>
                <w:sz w:val="22"/>
                <w:szCs w:val="22"/>
              </w:rPr>
              <w:t>,</w:t>
            </w:r>
            <w:r w:rsidRPr="00957B06">
              <w:rPr>
                <w:sz w:val="22"/>
                <w:szCs w:val="22"/>
              </w:rPr>
              <w:t xml:space="preserve"> dotyczących </w:t>
            </w:r>
            <w:r w:rsidR="00CB07A3" w:rsidRPr="00957B06">
              <w:rPr>
                <w:sz w:val="22"/>
                <w:szCs w:val="22"/>
              </w:rPr>
              <w:t xml:space="preserve">trafności przyjętych przepisów, </w:t>
            </w:r>
            <w:r w:rsidRPr="00957B06">
              <w:rPr>
                <w:sz w:val="22"/>
                <w:szCs w:val="22"/>
              </w:rPr>
              <w:t xml:space="preserve">skali </w:t>
            </w:r>
            <w:r w:rsidR="00CB07A3" w:rsidRPr="00957B06">
              <w:rPr>
                <w:sz w:val="22"/>
                <w:szCs w:val="22"/>
              </w:rPr>
              <w:t xml:space="preserve">ich </w:t>
            </w:r>
            <w:r w:rsidRPr="00957B06">
              <w:rPr>
                <w:sz w:val="22"/>
                <w:szCs w:val="22"/>
              </w:rPr>
              <w:t xml:space="preserve">wykorzystania </w:t>
            </w:r>
            <w:r w:rsidR="00CB07A3" w:rsidRPr="00957B06">
              <w:rPr>
                <w:sz w:val="22"/>
                <w:szCs w:val="22"/>
              </w:rPr>
              <w:t>przez osoby ze szczególnymi potrzebami</w:t>
            </w:r>
            <w:r w:rsidRPr="00957B06">
              <w:rPr>
                <w:sz w:val="22"/>
                <w:szCs w:val="22"/>
              </w:rPr>
              <w:t xml:space="preserve"> oraz problemów związanych z ich interpretacją i wdrażaniem</w:t>
            </w:r>
            <w:r w:rsidR="00CB07A3" w:rsidRPr="00957B06">
              <w:rPr>
                <w:sz w:val="22"/>
                <w:szCs w:val="22"/>
              </w:rPr>
              <w:t xml:space="preserve"> </w:t>
            </w:r>
            <w:r w:rsidRPr="00957B06">
              <w:rPr>
                <w:sz w:val="22"/>
                <w:szCs w:val="22"/>
              </w:rPr>
              <w:t>w praktyce.</w:t>
            </w:r>
          </w:p>
          <w:p w14:paraId="5D94C291" w14:textId="3A722802" w:rsidR="00A06957" w:rsidRPr="00957B06" w:rsidRDefault="00A06957" w:rsidP="00A06957">
            <w:pPr>
              <w:shd w:val="clear" w:color="auto" w:fill="FFFFFF"/>
              <w:spacing w:before="120" w:after="120"/>
            </w:pPr>
            <w:r w:rsidRPr="00957B06">
              <w:t>Pomimo obserwowanych wielu pozytywnych zmian</w:t>
            </w:r>
            <w:r w:rsidR="00BA5F8A" w:rsidRPr="00957B06">
              <w:t>,</w:t>
            </w:r>
            <w:r w:rsidRPr="00957B06">
              <w:t xml:space="preserve"> wynikających z wdrażania obowiązków ustaw</w:t>
            </w:r>
            <w:r w:rsidR="00BA5F8A" w:rsidRPr="00957B06">
              <w:t>owych</w:t>
            </w:r>
            <w:r w:rsidRPr="00957B06">
              <w:t xml:space="preserve">, </w:t>
            </w:r>
            <w:r w:rsidR="00BA5F8A" w:rsidRPr="00957B06">
              <w:t xml:space="preserve">ich </w:t>
            </w:r>
            <w:r w:rsidRPr="00957B06">
              <w:t xml:space="preserve">adresaci jak i główni użytkownicy zgłaszają szereg uwag </w:t>
            </w:r>
            <w:r w:rsidR="003833EC">
              <w:t xml:space="preserve">wskazujących na konieczność </w:t>
            </w:r>
            <w:r w:rsidR="00BA5F8A" w:rsidRPr="00957B06">
              <w:t xml:space="preserve">poprawy </w:t>
            </w:r>
            <w:r w:rsidR="00CB07A3" w:rsidRPr="00957B06">
              <w:t xml:space="preserve">adekwatności i </w:t>
            </w:r>
            <w:r w:rsidR="00BA5F8A" w:rsidRPr="00957B06">
              <w:t>skuteczności</w:t>
            </w:r>
            <w:r w:rsidR="00CB07A3" w:rsidRPr="00957B06">
              <w:t xml:space="preserve"> tych przepisów</w:t>
            </w:r>
            <w:r w:rsidR="00BA5F8A" w:rsidRPr="00957B06">
              <w:t xml:space="preserve">. </w:t>
            </w:r>
            <w:r w:rsidRPr="00957B06">
              <w:t xml:space="preserve">Wiąże się to zarówno z kwestiami </w:t>
            </w:r>
            <w:proofErr w:type="spellStart"/>
            <w:r w:rsidRPr="00957B06">
              <w:t>uspójnienia</w:t>
            </w:r>
            <w:proofErr w:type="spellEnd"/>
            <w:r w:rsidRPr="00957B06">
              <w:t xml:space="preserve"> regulacji jak i doprecyzowania, określonych w niej oczekiwań ale również zasad działania</w:t>
            </w:r>
            <w:r w:rsidR="00CB07A3" w:rsidRPr="00957B06">
              <w:t xml:space="preserve"> poszczególnych</w:t>
            </w:r>
            <w:r w:rsidRPr="00957B06">
              <w:t xml:space="preserve"> mechanizmów i narzędzi.   </w:t>
            </w:r>
          </w:p>
          <w:p w14:paraId="54645D52" w14:textId="033269B5" w:rsidR="00F27920" w:rsidRPr="00957B06" w:rsidRDefault="00A06957" w:rsidP="00F27920">
            <w:pPr>
              <w:shd w:val="clear" w:color="auto" w:fill="FFFFFF"/>
              <w:spacing w:before="120" w:after="120"/>
            </w:pPr>
            <w:r w:rsidRPr="00957B06">
              <w:t xml:space="preserve">Opinie środowisk osób z niepełnosprawnościami wskazują, iż pomimo </w:t>
            </w:r>
            <w:r w:rsidR="007031A8" w:rsidRPr="00957B06">
              <w:t>6</w:t>
            </w:r>
            <w:r w:rsidRPr="00957B06">
              <w:t xml:space="preserve"> lat obowiązywania przepisów związanych z dostępnością, w przestrzeni publicznej, budynkach urzędów i procedurach świadczonych przez nie usług, wciąż pozostaje wiele barier, które uniemożliwiają osobom ze szczególnymi potrzebami skorzysta</w:t>
            </w:r>
            <w:r w:rsidR="007031A8" w:rsidRPr="00957B06">
              <w:t>nie</w:t>
            </w:r>
            <w:r w:rsidRPr="00957B06">
              <w:t xml:space="preserve"> z usług publicznych na równi z innymi osobami. Pomimo wielu wysiłków i znaczących nakładów poniesionych na poprawę warunków życia (między innymi osób niepełnosprawnych i starszych), w zakresie pracy czy korzystania z podstawowych praw i swobód obywatelskich, nadal znaczna część z nich doświadcza szeregu barier, utrudniających lub uniemożliwiających im pełne funkcjonowanie w społeczeństwie, w tym</w:t>
            </w:r>
            <w:r w:rsidR="00BF1ED6" w:rsidRPr="00957B06">
              <w:t>,</w:t>
            </w:r>
            <w:r w:rsidRPr="00957B06">
              <w:t xml:space="preserve"> w relacjach z podmiotami publicznymi. Także efekty obecnie funkcjonującego systemu regulacyjnego (zarówno na poziomie ustawowym, jak i wykonawczym), nie są zadawalające. Przepisy prawa wynikające z ustawy są niewystarczająco skuteczne. </w:t>
            </w:r>
          </w:p>
          <w:p w14:paraId="40434217" w14:textId="6EB926E8" w:rsidR="00F62E9F" w:rsidRPr="00957B06" w:rsidRDefault="00CB07A3" w:rsidP="00F27920">
            <w:pPr>
              <w:shd w:val="clear" w:color="auto" w:fill="FFFFFF"/>
              <w:spacing w:before="120" w:after="120"/>
              <w:rPr>
                <w:rFonts w:eastAsia="Calibri"/>
                <w:color w:val="000000"/>
              </w:rPr>
            </w:pPr>
            <w:r w:rsidRPr="00957B06">
              <w:t xml:space="preserve">W opinii </w:t>
            </w:r>
            <w:proofErr w:type="spellStart"/>
            <w:r w:rsidRPr="00957B06">
              <w:t>MFiPR</w:t>
            </w:r>
            <w:proofErr w:type="spellEnd"/>
            <w:r w:rsidR="001B0392" w:rsidRPr="00957B06">
              <w:t xml:space="preserve"> potrzeba bardziej horyzontalnego podejścia w tworzeni</w:t>
            </w:r>
            <w:r w:rsidR="000950D0" w:rsidRPr="00957B06">
              <w:t>u</w:t>
            </w:r>
            <w:r w:rsidR="001B0392" w:rsidRPr="00957B06">
              <w:t xml:space="preserve"> warunków dla rozwoju dostępności w </w:t>
            </w:r>
            <w:r w:rsidR="00C94857" w:rsidRPr="00957B06">
              <w:t>różnych</w:t>
            </w:r>
            <w:r w:rsidR="001B0392" w:rsidRPr="00957B06">
              <w:t xml:space="preserve"> </w:t>
            </w:r>
            <w:r w:rsidRPr="00957B06">
              <w:t xml:space="preserve">dziedzinach życia i różnych politykach publicznych. </w:t>
            </w:r>
            <w:r w:rsidR="00303A8E" w:rsidRPr="00957B06">
              <w:t xml:space="preserve"> </w:t>
            </w:r>
            <w:r w:rsidRPr="00957B06">
              <w:t xml:space="preserve">Jest to uzasadnione </w:t>
            </w:r>
            <w:r w:rsidR="00303A8E" w:rsidRPr="00957B06">
              <w:t xml:space="preserve">biorąc pod uwagę uniwersalność </w:t>
            </w:r>
            <w:r w:rsidRPr="00957B06">
              <w:t>i powszechność stosowania przepisów dot. dost</w:t>
            </w:r>
            <w:r w:rsidR="00BF1ED6" w:rsidRPr="00957B06">
              <w:t>ę</w:t>
            </w:r>
            <w:r w:rsidRPr="00957B06">
              <w:t xml:space="preserve">pności. </w:t>
            </w:r>
            <w:r w:rsidR="00DF28F0" w:rsidRPr="00957B06">
              <w:rPr>
                <w:rFonts w:eastAsia="Calibri"/>
                <w:color w:val="000000"/>
              </w:rPr>
              <w:t xml:space="preserve">Rozwiązania </w:t>
            </w:r>
            <w:r w:rsidRPr="00957B06">
              <w:rPr>
                <w:rFonts w:eastAsia="Calibri"/>
                <w:color w:val="000000"/>
              </w:rPr>
              <w:t>zawarte</w:t>
            </w:r>
            <w:r w:rsidR="00DF28F0" w:rsidRPr="00957B06">
              <w:rPr>
                <w:rFonts w:eastAsia="Calibri"/>
                <w:color w:val="000000"/>
              </w:rPr>
              <w:t xml:space="preserve"> w ustawie, mają</w:t>
            </w:r>
            <w:r w:rsidR="00C94857" w:rsidRPr="00957B06">
              <w:rPr>
                <w:rFonts w:eastAsia="Calibri"/>
                <w:color w:val="000000"/>
              </w:rPr>
              <w:t xml:space="preserve"> bowiem</w:t>
            </w:r>
            <w:r w:rsidR="00DF28F0" w:rsidRPr="00957B06">
              <w:rPr>
                <w:rFonts w:eastAsia="Calibri"/>
                <w:color w:val="000000"/>
              </w:rPr>
              <w:t xml:space="preserve"> </w:t>
            </w:r>
            <w:r w:rsidRPr="00957B06">
              <w:rPr>
                <w:rFonts w:eastAsia="Calibri"/>
                <w:color w:val="000000"/>
              </w:rPr>
              <w:t xml:space="preserve">– zgodnie z początkową intencją - </w:t>
            </w:r>
            <w:r w:rsidR="00DF28F0" w:rsidRPr="00957B06">
              <w:rPr>
                <w:rFonts w:eastAsia="Calibri"/>
                <w:color w:val="000000"/>
              </w:rPr>
              <w:t xml:space="preserve">służyć nie tylko osobom z </w:t>
            </w:r>
            <w:r w:rsidR="00C94857" w:rsidRPr="00957B06">
              <w:rPr>
                <w:rFonts w:eastAsia="Calibri"/>
                <w:color w:val="000000"/>
              </w:rPr>
              <w:t>n</w:t>
            </w:r>
            <w:r w:rsidR="00DF28F0" w:rsidRPr="00957B06">
              <w:rPr>
                <w:rFonts w:eastAsia="Calibri"/>
                <w:color w:val="000000"/>
              </w:rPr>
              <w:t>iepełnosprawnościami</w:t>
            </w:r>
            <w:r w:rsidR="00C94857" w:rsidRPr="00957B06">
              <w:rPr>
                <w:rFonts w:eastAsia="Calibri"/>
                <w:color w:val="000000"/>
              </w:rPr>
              <w:t xml:space="preserve"> </w:t>
            </w:r>
            <w:r w:rsidRPr="00957B06">
              <w:rPr>
                <w:rFonts w:eastAsia="Calibri"/>
                <w:color w:val="000000"/>
              </w:rPr>
              <w:t xml:space="preserve">czy seniorom </w:t>
            </w:r>
            <w:r w:rsidR="00C94857" w:rsidRPr="00957B06">
              <w:rPr>
                <w:rFonts w:eastAsia="Calibri"/>
                <w:color w:val="000000"/>
              </w:rPr>
              <w:t>ale zaprojektowane</w:t>
            </w:r>
            <w:r w:rsidRPr="00957B06">
              <w:rPr>
                <w:rFonts w:eastAsia="Calibri"/>
                <w:color w:val="000000"/>
              </w:rPr>
              <w:t xml:space="preserve"> są</w:t>
            </w:r>
            <w:r w:rsidR="00C94857" w:rsidRPr="00957B06">
              <w:rPr>
                <w:rFonts w:eastAsia="Calibri"/>
                <w:color w:val="000000"/>
              </w:rPr>
              <w:t xml:space="preserve"> uniwersalnie dla ogółu społeczeństwa</w:t>
            </w:r>
            <w:r w:rsidR="00DF28F0" w:rsidRPr="00957B06">
              <w:rPr>
                <w:rFonts w:eastAsia="Calibri"/>
                <w:color w:val="000000"/>
              </w:rPr>
              <w:t xml:space="preserve">: osób które podróżują, poruszają się z bagażem, </w:t>
            </w:r>
            <w:r w:rsidRPr="00957B06">
              <w:rPr>
                <w:rFonts w:eastAsia="Calibri"/>
                <w:color w:val="000000"/>
              </w:rPr>
              <w:t xml:space="preserve">z </w:t>
            </w:r>
            <w:r w:rsidR="00DF28F0" w:rsidRPr="00957B06">
              <w:rPr>
                <w:rFonts w:eastAsia="Calibri"/>
                <w:color w:val="000000"/>
              </w:rPr>
              <w:t>wózkami</w:t>
            </w:r>
            <w:r w:rsidRPr="00957B06">
              <w:rPr>
                <w:rFonts w:eastAsia="Calibri"/>
                <w:color w:val="000000"/>
              </w:rPr>
              <w:t xml:space="preserve">, z rowerem, </w:t>
            </w:r>
            <w:r w:rsidR="00DF28F0" w:rsidRPr="00957B06">
              <w:rPr>
                <w:rFonts w:eastAsia="Calibri"/>
                <w:color w:val="000000"/>
              </w:rPr>
              <w:t xml:space="preserve"> z małymi dziećmi, osób z czasowymi ograniczeniami w ruchu np. po urazach, zabiegach, chorobach</w:t>
            </w:r>
            <w:r w:rsidRPr="00957B06">
              <w:rPr>
                <w:rFonts w:eastAsia="Calibri"/>
                <w:color w:val="000000"/>
              </w:rPr>
              <w:t xml:space="preserve">, poruszających </w:t>
            </w:r>
            <w:r w:rsidR="00DF28F0" w:rsidRPr="00957B06">
              <w:rPr>
                <w:rFonts w:eastAsia="Calibri"/>
                <w:color w:val="000000"/>
              </w:rPr>
              <w:t xml:space="preserve">się o kulach, </w:t>
            </w:r>
            <w:r w:rsidR="00F62E9F" w:rsidRPr="00957B06">
              <w:rPr>
                <w:rFonts w:eastAsia="Calibri"/>
                <w:color w:val="000000"/>
              </w:rPr>
              <w:t xml:space="preserve">czy </w:t>
            </w:r>
            <w:r w:rsidRPr="00957B06">
              <w:rPr>
                <w:rFonts w:eastAsia="Calibri"/>
                <w:color w:val="000000"/>
              </w:rPr>
              <w:t xml:space="preserve">osób </w:t>
            </w:r>
            <w:proofErr w:type="spellStart"/>
            <w:r w:rsidRPr="00957B06">
              <w:rPr>
                <w:rFonts w:eastAsia="Calibri"/>
                <w:color w:val="000000"/>
              </w:rPr>
              <w:t>neuroatypowych</w:t>
            </w:r>
            <w:proofErr w:type="spellEnd"/>
            <w:r w:rsidR="00DF28F0" w:rsidRPr="00957B06">
              <w:rPr>
                <w:rFonts w:eastAsia="Calibri"/>
                <w:color w:val="000000"/>
              </w:rPr>
              <w:t xml:space="preserve">. </w:t>
            </w:r>
          </w:p>
          <w:p w14:paraId="180E95D7" w14:textId="47CEEB11" w:rsidR="00F62E9F" w:rsidRPr="00957B06" w:rsidRDefault="00F62E9F" w:rsidP="00F62E9F">
            <w:pPr>
              <w:pBdr>
                <w:top w:val="nil"/>
                <w:left w:val="nil"/>
                <w:bottom w:val="nil"/>
                <w:right w:val="nil"/>
                <w:between w:val="nil"/>
                <w:bar w:val="nil"/>
              </w:pBdr>
              <w:shd w:val="clear" w:color="auto" w:fill="FFFFFF"/>
              <w:spacing w:before="120" w:after="120"/>
              <w:rPr>
                <w:rFonts w:eastAsia="Calibri"/>
                <w:color w:val="000000"/>
              </w:rPr>
            </w:pPr>
            <w:r w:rsidRPr="00957B06">
              <w:rPr>
                <w:rFonts w:eastAsia="Calibri"/>
                <w:color w:val="000000"/>
              </w:rPr>
              <w:t>Według danych GUS na koniec 2024 r. osoby posiadające ważne orzeczenie o niepełnosprawności stanowiły około 10,5% populacji Polski (czyli mniej więcej 4 mln osób). Przy zastosowaniu szerszej definicji, obejmującej również osoby deklarujące trwałe ograniczenia w codziennym funkcjonowaniu, niezależnie od posiadania formalnego orzeczenia, odsetek ten wzrasta do około 14%. Z kolei liczba osób w wieku 65 lat i więcej w 2024 r. przekroczyła 7,7 mln i stanowiła około 20,6% ogółu populacji Polski. W perspektywie starzejącego się społeczeństwa - według prognozy GUS w 2050 r. osoby w wieku 65+ będą stanowiły ok. jedną trzecią ludności Polski. Prognozy demograficzne wskazują na dynamiczny wzrost liczby osób starszych w Polsce w najbliższych dziesięcioleciach, przez co znacząco wzrośnie zapotrzebowanie na dostępność usług i przestrzeni</w:t>
            </w:r>
            <w:r w:rsidR="005F5016">
              <w:rPr>
                <w:rFonts w:eastAsia="Calibri"/>
                <w:color w:val="000000"/>
              </w:rPr>
              <w:t>e</w:t>
            </w:r>
            <w:r w:rsidRPr="00957B06">
              <w:rPr>
                <w:rFonts w:eastAsia="Calibri"/>
                <w:color w:val="000000"/>
              </w:rPr>
              <w:t xml:space="preserve">. </w:t>
            </w:r>
          </w:p>
          <w:p w14:paraId="1E6C8F31" w14:textId="659FB677" w:rsidR="001B0392" w:rsidRPr="00957B06" w:rsidRDefault="00DF28F0" w:rsidP="002151B6">
            <w:pPr>
              <w:pBdr>
                <w:top w:val="nil"/>
                <w:left w:val="nil"/>
                <w:bottom w:val="nil"/>
                <w:right w:val="nil"/>
                <w:between w:val="nil"/>
                <w:bar w:val="nil"/>
              </w:pBdr>
              <w:shd w:val="clear" w:color="auto" w:fill="FFFFFF"/>
              <w:spacing w:before="120" w:after="120"/>
              <w:rPr>
                <w:rFonts w:eastAsia="Calibri"/>
                <w:color w:val="000000"/>
              </w:rPr>
            </w:pPr>
            <w:r w:rsidRPr="00957B06">
              <w:rPr>
                <w:rFonts w:eastAsia="Calibri"/>
                <w:color w:val="000000"/>
              </w:rPr>
              <w:t xml:space="preserve">Intencją ustawodawcy </w:t>
            </w:r>
            <w:r w:rsidR="00F62E9F" w:rsidRPr="00957B06">
              <w:rPr>
                <w:rFonts w:eastAsia="Calibri"/>
                <w:color w:val="000000"/>
              </w:rPr>
              <w:t xml:space="preserve">od początku było </w:t>
            </w:r>
            <w:r w:rsidRPr="00957B06">
              <w:rPr>
                <w:rFonts w:eastAsia="Calibri"/>
                <w:color w:val="000000"/>
              </w:rPr>
              <w:t xml:space="preserve"> </w:t>
            </w:r>
            <w:r w:rsidR="00F62E9F" w:rsidRPr="00957B06">
              <w:rPr>
                <w:rFonts w:eastAsia="Calibri"/>
                <w:color w:val="000000"/>
              </w:rPr>
              <w:t xml:space="preserve">wprowadzenie </w:t>
            </w:r>
            <w:r w:rsidRPr="00957B06">
              <w:rPr>
                <w:rFonts w:eastAsia="Calibri"/>
                <w:color w:val="000000"/>
              </w:rPr>
              <w:t>dostępności jako rozwiązania, które służy każdemu obywatelowi</w:t>
            </w:r>
            <w:r w:rsidR="00C94857" w:rsidRPr="00957B06">
              <w:rPr>
                <w:rFonts w:eastAsia="Calibri"/>
                <w:color w:val="000000"/>
              </w:rPr>
              <w:t xml:space="preserve">, w tym </w:t>
            </w:r>
            <w:r w:rsidR="00F62E9F" w:rsidRPr="00957B06">
              <w:rPr>
                <w:rFonts w:eastAsia="Calibri"/>
                <w:color w:val="000000"/>
              </w:rPr>
              <w:t xml:space="preserve">szczególnie </w:t>
            </w:r>
            <w:r w:rsidR="00C94857" w:rsidRPr="00957B06">
              <w:rPr>
                <w:rFonts w:eastAsia="Calibri"/>
                <w:color w:val="000000"/>
              </w:rPr>
              <w:t xml:space="preserve">seniorom jako dynamicznie rosnącej </w:t>
            </w:r>
            <w:r w:rsidR="00F62E9F" w:rsidRPr="00957B06">
              <w:rPr>
                <w:rFonts w:eastAsia="Calibri"/>
                <w:color w:val="000000"/>
              </w:rPr>
              <w:t xml:space="preserve">liczebnie </w:t>
            </w:r>
            <w:r w:rsidR="00C94857" w:rsidRPr="00957B06">
              <w:rPr>
                <w:rFonts w:eastAsia="Calibri"/>
                <w:color w:val="000000"/>
              </w:rPr>
              <w:t xml:space="preserve"> grupie społecznej</w:t>
            </w:r>
            <w:r w:rsidRPr="00957B06">
              <w:rPr>
                <w:rFonts w:eastAsia="Calibri"/>
                <w:color w:val="000000"/>
              </w:rPr>
              <w:t>.</w:t>
            </w:r>
            <w:r w:rsidR="001B0392" w:rsidRPr="00957B06">
              <w:t xml:space="preserve"> </w:t>
            </w:r>
            <w:r w:rsidR="00F62E9F" w:rsidRPr="00957B06">
              <w:t>Praktyczne rozwiązania, które przyjęto w ustawie zakładają, że t</w:t>
            </w:r>
            <w:r w:rsidR="001B0392" w:rsidRPr="00957B06">
              <w:t xml:space="preserve">o </w:t>
            </w:r>
            <w:r w:rsidR="00F62E9F" w:rsidRPr="00957B06">
              <w:t xml:space="preserve">co jest warunkiem dla osób z niepełnosprawnościami, staje się komfortem użytkowania lub pozostaje niezauważalne dla osób sprawnych, jednocześnie podnosząc jakość i użyteczność przestrzeni czy usług. Aby było to możliwe z jednej strony ustawa wprowadziła minimalne wymagania dostępności – z drugiej jednak, przy rozproszonym systemie koordynacji, konieczne jest </w:t>
            </w:r>
            <w:r w:rsidR="001B0392" w:rsidRPr="00957B06">
              <w:t>uwzględniani</w:t>
            </w:r>
            <w:r w:rsidR="00F62E9F" w:rsidRPr="00957B06">
              <w:t>e</w:t>
            </w:r>
            <w:r w:rsidR="001B0392" w:rsidRPr="00957B06">
              <w:t xml:space="preserve"> dostępności przekrojowo</w:t>
            </w:r>
            <w:r w:rsidR="00F62E9F" w:rsidRPr="00957B06">
              <w:t xml:space="preserve"> i bardziej szczegółowo</w:t>
            </w:r>
            <w:r w:rsidR="001B0392" w:rsidRPr="00957B06">
              <w:t xml:space="preserve"> w różnych politykach publicznych. Potrzeba zwiększenia mobilizacji i odpowiedzialności poszczególnych ministrów </w:t>
            </w:r>
            <w:r w:rsidR="003C1C1B" w:rsidRPr="00957B06">
              <w:t>właściwych d</w:t>
            </w:r>
            <w:r w:rsidR="001055DC" w:rsidRPr="00957B06">
              <w:t>o</w:t>
            </w:r>
            <w:r w:rsidR="001B0392" w:rsidRPr="00957B06">
              <w:t xml:space="preserve"> realizacj</w:t>
            </w:r>
            <w:r w:rsidR="003C1C1B" w:rsidRPr="00957B06">
              <w:t>i</w:t>
            </w:r>
            <w:r w:rsidR="001B0392" w:rsidRPr="00957B06">
              <w:t xml:space="preserve"> polityk publicznych w poszczególnych obszarach</w:t>
            </w:r>
            <w:r w:rsidR="00403896" w:rsidRPr="00957B06">
              <w:t xml:space="preserve"> celem uwzględnienia dostępności jako czynnika, który </w:t>
            </w:r>
            <w:r w:rsidR="001B0E9D" w:rsidRPr="00957B06">
              <w:t>powinien być</w:t>
            </w:r>
            <w:r w:rsidR="00403896" w:rsidRPr="00957B06">
              <w:t xml:space="preserve"> brany pod uwagę przy wyznaczeniu i wspieraniu realizacji kierunków rozwoju danej polityki publicznej. Potrzeba z jednej strony wypracowania woli do zmian przepisów prawa pod kątem uwzględniania dostępności w regulowanych sferach życia, jak również uwzględni</w:t>
            </w:r>
            <w:r w:rsidR="001B0E9D" w:rsidRPr="00957B06">
              <w:t>e</w:t>
            </w:r>
            <w:r w:rsidR="00403896" w:rsidRPr="00957B06">
              <w:t>ni</w:t>
            </w:r>
            <w:r w:rsidR="001B0E9D" w:rsidRPr="00957B06">
              <w:t>a</w:t>
            </w:r>
            <w:r w:rsidR="00403896" w:rsidRPr="00957B06">
              <w:t xml:space="preserve"> potrzeb dostępności w </w:t>
            </w:r>
            <w:r w:rsidR="00C97390" w:rsidRPr="00957B06">
              <w:t xml:space="preserve">politykach </w:t>
            </w:r>
            <w:r w:rsidR="00403896" w:rsidRPr="00957B06">
              <w:t>sektor</w:t>
            </w:r>
            <w:r w:rsidR="00D77678" w:rsidRPr="00957B06">
              <w:t>o</w:t>
            </w:r>
            <w:r w:rsidR="00403896" w:rsidRPr="00957B06">
              <w:t>wych</w:t>
            </w:r>
            <w:r w:rsidR="00C97390" w:rsidRPr="00957B06">
              <w:t>,</w:t>
            </w:r>
            <w:r w:rsidR="003C1C1B" w:rsidRPr="00957B06">
              <w:t xml:space="preserve"> ze szczególnym naciskiem na:</w:t>
            </w:r>
            <w:r w:rsidR="00403896" w:rsidRPr="00957B06">
              <w:t xml:space="preserve"> </w:t>
            </w:r>
          </w:p>
          <w:p w14:paraId="3ED55F42" w14:textId="77361B33" w:rsidR="00EC12BB" w:rsidRPr="00957B06" w:rsidRDefault="00EC12BB" w:rsidP="00A05585">
            <w:pPr>
              <w:shd w:val="clear" w:color="auto" w:fill="FFFFFF"/>
              <w:spacing w:before="120" w:after="120"/>
            </w:pPr>
            <w:r w:rsidRPr="00957B06">
              <w:t>Dział administracja publiczna i dział spraw wewnętrznych – w zakresie tworzenia warunków dla sprawnego wdrażania przez podmioty publiczne</w:t>
            </w:r>
            <w:r w:rsidR="00C97390" w:rsidRPr="00957B06">
              <w:t xml:space="preserve"> (szczególnie samorządy)</w:t>
            </w:r>
            <w:r w:rsidRPr="00957B06">
              <w:t xml:space="preserve"> obowiązków wynikających z ustawy, zapewnianie wsparcia w postaci instrumentów grantowych, rozwoju wiedzy i kompetencji urzędników, </w:t>
            </w:r>
          </w:p>
          <w:p w14:paraId="2679495F" w14:textId="592AD44E" w:rsidR="00A05585" w:rsidRPr="00957B06" w:rsidRDefault="001B0392" w:rsidP="00A05585">
            <w:pPr>
              <w:shd w:val="clear" w:color="auto" w:fill="FFFFFF"/>
              <w:spacing w:before="120" w:after="120"/>
            </w:pPr>
            <w:r w:rsidRPr="00957B06">
              <w:t xml:space="preserve">Dział budownictwo, planowanie i zagospodarowanie przestrzenne oraz mieszkalnictwo -  w zakresie rozwijania </w:t>
            </w:r>
            <w:r w:rsidR="00C97390" w:rsidRPr="00957B06">
              <w:t xml:space="preserve">standardów i wymagań </w:t>
            </w:r>
            <w:r w:rsidRPr="00957B06">
              <w:t>dostępności architektonicznej, w szczególności prawa budowlanego oraz warunków technicznych</w:t>
            </w:r>
            <w:r w:rsidR="00A05585" w:rsidRPr="00957B06">
              <w:t xml:space="preserve"> jakim powinny odpowiadać budynki i ich usytuowanie</w:t>
            </w:r>
            <w:r w:rsidR="00C97390" w:rsidRPr="00957B06">
              <w:t xml:space="preserve">. Szczególnym wyzwaniem pozostaje tu prawo spółdzielcze, które ogranicza możliwości instalacji wind w budynkach mieszkalnictwa wielorodzinnego, gdzie nie ma konsensusu społecznego dla takich rozwiązań. W tej sytuacji przepisy nie chronią wystarczająco obywateli ze szczególnymi potrzebami, utrzymując zjawisko tzw. „więźniów 4 piętra”. Jest to jedna z przyczyn ograniczonej skuteczności instrumentu ustawowego jakim jest Fundusz Dostępności.  </w:t>
            </w:r>
          </w:p>
          <w:p w14:paraId="5DE1C1FB" w14:textId="75C7A650" w:rsidR="00D574B7" w:rsidRPr="00957B06" w:rsidRDefault="00A05585" w:rsidP="001B0392">
            <w:pPr>
              <w:shd w:val="clear" w:color="auto" w:fill="FFFFFF"/>
              <w:spacing w:before="120" w:after="120"/>
            </w:pPr>
            <w:r w:rsidRPr="00957B06">
              <w:t>Dział budżet</w:t>
            </w:r>
            <w:r w:rsidR="00D574B7" w:rsidRPr="00957B06">
              <w:t>, finanse publiczne</w:t>
            </w:r>
            <w:r w:rsidRPr="00957B06">
              <w:t xml:space="preserve"> – w zakresie zabezpieczenia środków finansowych dla instrumentów wsparcia rozwoju dostępności, w tym Funduszu Dostępności</w:t>
            </w:r>
            <w:r w:rsidR="00D574B7" w:rsidRPr="00957B06">
              <w:t>,</w:t>
            </w:r>
            <w:r w:rsidRPr="00957B06">
              <w:t xml:space="preserve"> z którego finansowane są </w:t>
            </w:r>
            <w:r w:rsidR="00D574B7" w:rsidRPr="00957B06">
              <w:t>dostosowania architektoniczne</w:t>
            </w:r>
            <w:r w:rsidR="003C1C1B" w:rsidRPr="00957B06">
              <w:t>,</w:t>
            </w:r>
          </w:p>
          <w:p w14:paraId="484C7CB0" w14:textId="6FE9BBC7" w:rsidR="00D574B7" w:rsidRPr="00957B06" w:rsidRDefault="00D574B7" w:rsidP="001B0392">
            <w:pPr>
              <w:shd w:val="clear" w:color="auto" w:fill="FFFFFF"/>
              <w:spacing w:before="120" w:after="120"/>
            </w:pPr>
            <w:r w:rsidRPr="00957B06">
              <w:t>Dział informatyzacja – w zakresie dalszego tworzenia warunków dla rozwoju dostępności cyfrowej</w:t>
            </w:r>
            <w:r w:rsidR="00082662" w:rsidRPr="00957B06">
              <w:t xml:space="preserve"> i wzmocnienie </w:t>
            </w:r>
            <w:r w:rsidR="00C97390" w:rsidRPr="00957B06">
              <w:lastRenderedPageBreak/>
              <w:t xml:space="preserve">egzekwowalności </w:t>
            </w:r>
            <w:r w:rsidR="00082662" w:rsidRPr="00957B06">
              <w:t>realizacji obowiązków wynikających z ustawy o dostępności cyfrowej</w:t>
            </w:r>
            <w:r w:rsidRPr="00957B06">
              <w:t xml:space="preserve">, </w:t>
            </w:r>
          </w:p>
          <w:p w14:paraId="1DF33209" w14:textId="1D48F117" w:rsidR="000950D0" w:rsidRPr="00957B06" w:rsidRDefault="00D574B7" w:rsidP="001B0392">
            <w:pPr>
              <w:shd w:val="clear" w:color="auto" w:fill="FFFFFF"/>
              <w:spacing w:before="120" w:after="120"/>
            </w:pPr>
            <w:r w:rsidRPr="00957B06">
              <w:t xml:space="preserve">Dział kultura i ochrona dziedzictwa narodowego – w zakresie </w:t>
            </w:r>
            <w:r w:rsidR="000950D0" w:rsidRPr="00957B06">
              <w:t xml:space="preserve">powiązania możliwości otrzymania świadczeń z programów resortowych (grantów) </w:t>
            </w:r>
            <w:r w:rsidR="001E5615" w:rsidRPr="00957B06">
              <w:t>z</w:t>
            </w:r>
            <w:r w:rsidR="000950D0" w:rsidRPr="00957B06">
              <w:t xml:space="preserve"> realizacj</w:t>
            </w:r>
            <w:r w:rsidR="001E5615" w:rsidRPr="00957B06">
              <w:t>ą</w:t>
            </w:r>
            <w:r w:rsidR="000950D0" w:rsidRPr="00957B06">
              <w:t xml:space="preserve"> działań na rzecz rozwoju</w:t>
            </w:r>
            <w:r w:rsidRPr="00957B06">
              <w:t xml:space="preserve"> dostępności w</w:t>
            </w:r>
            <w:r w:rsidR="000950D0" w:rsidRPr="00957B06">
              <w:t xml:space="preserve"> zabytkach, modernizacji architektonicznej obiektów i placówek kulturalnych, tworzeniu oferty kulturalnej skierowanej do osób ze szczególnymi potrzebami, rozwoju dostępnej kinematografii,</w:t>
            </w:r>
          </w:p>
          <w:p w14:paraId="4653438F" w14:textId="5B1FA22E" w:rsidR="00C97390" w:rsidRPr="00957B06" w:rsidRDefault="000950D0" w:rsidP="001B0392">
            <w:pPr>
              <w:shd w:val="clear" w:color="auto" w:fill="FFFFFF"/>
              <w:spacing w:before="120" w:after="120"/>
            </w:pPr>
            <w:r w:rsidRPr="00957B06">
              <w:t>Dział kultura fizyczna i sport – w zakresie powiązania możliwości otrzymania świadczeń z programów resortowych (grantów) od realizacji działań na rzecz rozwoju dostępności, w tym w zakresie infrastruktury sportowej,</w:t>
            </w:r>
            <w:r w:rsidR="003C1C1B" w:rsidRPr="00957B06">
              <w:t xml:space="preserve"> </w:t>
            </w:r>
          </w:p>
          <w:p w14:paraId="68D2AE82" w14:textId="06230177" w:rsidR="003C1C1B" w:rsidRPr="00957B06" w:rsidRDefault="003C1C1B" w:rsidP="001B0392">
            <w:pPr>
              <w:shd w:val="clear" w:color="auto" w:fill="FFFFFF"/>
              <w:spacing w:before="120" w:after="120"/>
            </w:pPr>
            <w:r w:rsidRPr="00957B06">
              <w:t>Dział oświata i wychowanie – w zakresie kształtowania świadomości i wiedzy od najmłodszych pokoleń</w:t>
            </w:r>
            <w:r w:rsidR="00BF1ED6" w:rsidRPr="00957B06">
              <w:t xml:space="preserve"> co do</w:t>
            </w:r>
            <w:r w:rsidRPr="00957B06">
              <w:t xml:space="preserve"> potrzeb osób z niepełnosprawnościami i szerzej ze szczególnymi potrzebami, w zakresie równości, różnorodności, poszanowania i tolerancji,</w:t>
            </w:r>
            <w:r w:rsidR="00B5735B" w:rsidRPr="00957B06">
              <w:t xml:space="preserve"> uwzględnianie treści związanych z różnorodnością i dostępnością w podstawach programowych,</w:t>
            </w:r>
          </w:p>
          <w:p w14:paraId="6C0F0CF1" w14:textId="679DA37D" w:rsidR="003C1C1B" w:rsidRPr="00957B06" w:rsidRDefault="003C1C1B" w:rsidP="001B0392">
            <w:pPr>
              <w:shd w:val="clear" w:color="auto" w:fill="FFFFFF"/>
              <w:spacing w:before="120" w:after="120"/>
            </w:pPr>
            <w:r w:rsidRPr="00957B06">
              <w:t>Dział szkolnictwo wyższe i nauka -  w zakresie dostosowania infrastruktury uczelni do potrzeb studentów ze szczególnymi potrzebami ale także szerzej budowanie kom</w:t>
            </w:r>
            <w:r w:rsidR="00B5735B" w:rsidRPr="00957B06">
              <w:t>petencji kadry akademickiej oraz tworzenie  kierunków studiów</w:t>
            </w:r>
            <w:r w:rsidR="00C97390" w:rsidRPr="00957B06">
              <w:t xml:space="preserve">, uwzględniających zagadnienia projektowania uniwersalnego, </w:t>
            </w:r>
            <w:r w:rsidR="00B5735B" w:rsidRPr="00957B06">
              <w:t xml:space="preserve"> dla kształcenia przyszłych specjalistów i ekspertów,</w:t>
            </w:r>
          </w:p>
          <w:p w14:paraId="68F2CBD9" w14:textId="008CD09F" w:rsidR="00B5735B" w:rsidRPr="00957B06" w:rsidRDefault="00B5735B" w:rsidP="001B0392">
            <w:pPr>
              <w:shd w:val="clear" w:color="auto" w:fill="FFFFFF"/>
              <w:spacing w:before="120" w:after="120"/>
            </w:pPr>
            <w:r w:rsidRPr="00957B06">
              <w:t xml:space="preserve">Dział sprawiedliwość – w zakresie dostosowania procedur  funkcjonowania </w:t>
            </w:r>
            <w:r w:rsidR="00C97390" w:rsidRPr="00957B06">
              <w:t>instytucji</w:t>
            </w:r>
            <w:r w:rsidRPr="00957B06">
              <w:t xml:space="preserve"> wymiaru sprawiedliwości do obsługi osób z niepełnosprawnościami, zmian prawnych w zakresie poszanowania godności</w:t>
            </w:r>
            <w:r w:rsidR="00CA779C" w:rsidRPr="00957B06">
              <w:t>,</w:t>
            </w:r>
            <w:r w:rsidRPr="00957B06">
              <w:t xml:space="preserve"> </w:t>
            </w:r>
            <w:r w:rsidR="00CA779C" w:rsidRPr="00957B06">
              <w:t xml:space="preserve">poczucia sprawczości i samostanowienia przez osoby z niepełnosprawnościami, w tym </w:t>
            </w:r>
            <w:r w:rsidR="00C97390" w:rsidRPr="00957B06">
              <w:t xml:space="preserve">z </w:t>
            </w:r>
            <w:r w:rsidR="00CA779C" w:rsidRPr="00957B06">
              <w:t>niepełnosprawnościami intelektualnymi,</w:t>
            </w:r>
          </w:p>
          <w:p w14:paraId="204D4C3B" w14:textId="4EC47EBE" w:rsidR="00CA779C" w:rsidRPr="00957B06" w:rsidRDefault="0028513E" w:rsidP="001B0392">
            <w:pPr>
              <w:shd w:val="clear" w:color="auto" w:fill="FFFFFF"/>
              <w:spacing w:before="120" w:after="120"/>
            </w:pPr>
            <w:r w:rsidRPr="00957B06">
              <w:t xml:space="preserve">Dział transport – w zakresie dalszego rozwijania dostępnej infrastruktury transportowej z uwzględnieniem wymiany taboru na uwzględniający potrzeby pasażerów z niepełnosprawnościami, </w:t>
            </w:r>
          </w:p>
          <w:p w14:paraId="0914F5D1" w14:textId="3B05067F" w:rsidR="009A6A22" w:rsidRPr="00957B06" w:rsidRDefault="00EC12BB" w:rsidP="009A6A22">
            <w:pPr>
              <w:shd w:val="clear" w:color="auto" w:fill="FFFFFF"/>
              <w:spacing w:before="120" w:after="120"/>
            </w:pPr>
            <w:r w:rsidRPr="00957B06">
              <w:t xml:space="preserve">Dział </w:t>
            </w:r>
            <w:r w:rsidR="009A6A22" w:rsidRPr="00957B06">
              <w:t>zabezpieczenie społeczne – w zakresie świadczeń socjalnych, zatrudnienia, rehabilitacji społecznej i zawodowej osób</w:t>
            </w:r>
            <w:r w:rsidR="00BF1ED6" w:rsidRPr="00957B06">
              <w:t xml:space="preserve"> z</w:t>
            </w:r>
            <w:r w:rsidR="009A6A22" w:rsidRPr="00957B06">
              <w:t xml:space="preserve"> niepełnosprawn</w:t>
            </w:r>
            <w:r w:rsidR="00BF1ED6" w:rsidRPr="00957B06">
              <w:t xml:space="preserve">ościami, </w:t>
            </w:r>
          </w:p>
          <w:p w14:paraId="556DAD85" w14:textId="2316F50D" w:rsidR="00DC298E" w:rsidRPr="00957B06" w:rsidRDefault="009A6A22" w:rsidP="00DC298E">
            <w:pPr>
              <w:shd w:val="clear" w:color="auto" w:fill="FFFFFF"/>
              <w:spacing w:before="120" w:after="120"/>
            </w:pPr>
            <w:r w:rsidRPr="00957B06">
              <w:t xml:space="preserve">Dział zdrowie </w:t>
            </w:r>
            <w:r w:rsidR="00DC298E" w:rsidRPr="00957B06">
              <w:t>–</w:t>
            </w:r>
            <w:r w:rsidRPr="00957B06">
              <w:t xml:space="preserve"> </w:t>
            </w:r>
            <w:r w:rsidR="00DC298E" w:rsidRPr="00957B06">
              <w:t xml:space="preserve">w zakresie zarówno </w:t>
            </w:r>
            <w:r w:rsidR="00BF1ED6" w:rsidRPr="00957B06">
              <w:t xml:space="preserve">rozwijania </w:t>
            </w:r>
            <w:r w:rsidR="00DC298E" w:rsidRPr="00957B06">
              <w:t xml:space="preserve">dostępności placówek medycznych, jak również sposobów organizacji ich pracy, realizacji świadczeń dla pacjentów z niepełnosprawnościami czy komunikacji z osobami ze szczególnymi potrzebami, </w:t>
            </w:r>
          </w:p>
          <w:p w14:paraId="5924330E" w14:textId="352C1BF5" w:rsidR="00082662" w:rsidRPr="00957B06" w:rsidRDefault="00082662" w:rsidP="00DC298E">
            <w:pPr>
              <w:shd w:val="clear" w:color="auto" w:fill="FFFFFF"/>
              <w:spacing w:before="120" w:after="120"/>
            </w:pPr>
            <w:r w:rsidRPr="00957B06">
              <w:t xml:space="preserve">Silniejsze powiązanie polityk publicznych w powyższych obszarach z problematyką dostępności </w:t>
            </w:r>
            <w:r w:rsidR="00C97390" w:rsidRPr="00957B06">
              <w:t>dałoby impuls</w:t>
            </w:r>
            <w:r w:rsidRPr="00957B06">
              <w:t xml:space="preserve"> determinując</w:t>
            </w:r>
            <w:r w:rsidR="00BF1ED6" w:rsidRPr="00957B06">
              <w:t>y</w:t>
            </w:r>
            <w:r w:rsidRPr="00957B06">
              <w:t xml:space="preserve"> zmiany paradygmatu kształtowania kierunków rozwoju społeczno-gospodarczego</w:t>
            </w:r>
            <w:r w:rsidR="001B2F35" w:rsidRPr="00957B06">
              <w:t xml:space="preserve"> w oparciu o wartości równości, poszanowania i tolerancji. Podejście to ma charakter długofalowy i wymaga szerokich uzgodnień</w:t>
            </w:r>
            <w:r w:rsidR="001B0E9D" w:rsidRPr="00957B06">
              <w:t xml:space="preserve"> politycznych i programowych</w:t>
            </w:r>
            <w:r w:rsidR="00C97390" w:rsidRPr="00957B06">
              <w:t>,</w:t>
            </w:r>
            <w:r w:rsidR="001B2F35" w:rsidRPr="00957B06">
              <w:t xml:space="preserve"> </w:t>
            </w:r>
            <w:r w:rsidR="00E71CA6" w:rsidRPr="00957B06">
              <w:t xml:space="preserve">celem zachowania spójności priorytetów rozwojowych danego obszaru społeczno-gospodarczego a potrzebami i oczekiwaniami środowisk osób z niepełnosprawnościami względem warunków </w:t>
            </w:r>
            <w:r w:rsidR="00795886" w:rsidRPr="00957B06">
              <w:t>dla rozwoju dostępności.</w:t>
            </w:r>
          </w:p>
          <w:p w14:paraId="39F4F28E" w14:textId="7896C571" w:rsidR="003932B3" w:rsidRPr="00957B06" w:rsidRDefault="00E71CA6" w:rsidP="003932B3">
            <w:pPr>
              <w:pStyle w:val="NormalnyWeb"/>
              <w:spacing w:before="120" w:beforeAutospacing="0" w:after="120" w:afterAutospacing="0" w:line="276" w:lineRule="auto"/>
              <w:rPr>
                <w:sz w:val="22"/>
                <w:szCs w:val="22"/>
                <w:lang w:eastAsia="en-US"/>
              </w:rPr>
            </w:pPr>
            <w:r w:rsidRPr="00957B06">
              <w:rPr>
                <w:sz w:val="22"/>
                <w:szCs w:val="22"/>
                <w:lang w:eastAsia="en-US"/>
              </w:rPr>
              <w:t>Takie podejście wymagałoby również wzmocnieni</w:t>
            </w:r>
            <w:r w:rsidR="00B31BE4" w:rsidRPr="00957B06">
              <w:rPr>
                <w:sz w:val="22"/>
                <w:szCs w:val="22"/>
                <w:lang w:eastAsia="en-US"/>
              </w:rPr>
              <w:t>a</w:t>
            </w:r>
            <w:r w:rsidRPr="00957B06">
              <w:rPr>
                <w:sz w:val="22"/>
                <w:szCs w:val="22"/>
                <w:lang w:eastAsia="en-US"/>
              </w:rPr>
              <w:t xml:space="preserve"> rozproszonych obecnie kompetencji w </w:t>
            </w:r>
            <w:r w:rsidR="00B31BE4" w:rsidRPr="00957B06">
              <w:rPr>
                <w:sz w:val="22"/>
                <w:szCs w:val="22"/>
                <w:lang w:eastAsia="en-US"/>
              </w:rPr>
              <w:t>zakresie koordynacji i mechanizmów monitoringu wdrażania działań na rzecz dost</w:t>
            </w:r>
            <w:r w:rsidR="003932B3" w:rsidRPr="00957B06">
              <w:rPr>
                <w:sz w:val="22"/>
                <w:szCs w:val="22"/>
                <w:lang w:eastAsia="en-US"/>
              </w:rPr>
              <w:t>ę</w:t>
            </w:r>
            <w:r w:rsidR="00B31BE4" w:rsidRPr="00957B06">
              <w:rPr>
                <w:sz w:val="22"/>
                <w:szCs w:val="22"/>
                <w:lang w:eastAsia="en-US"/>
              </w:rPr>
              <w:t>pności.</w:t>
            </w:r>
            <w:r w:rsidR="003932B3" w:rsidRPr="00957B06">
              <w:rPr>
                <w:sz w:val="22"/>
                <w:szCs w:val="22"/>
                <w:lang w:eastAsia="en-US"/>
              </w:rPr>
              <w:t xml:space="preserve"> </w:t>
            </w:r>
            <w:r w:rsidRPr="00957B06">
              <w:rPr>
                <w:sz w:val="22"/>
                <w:szCs w:val="22"/>
                <w:lang w:eastAsia="en-US"/>
              </w:rPr>
              <w:t xml:space="preserve">Obecnie ustawa powierza je ministrowi ds. rozwoju regionalnego (art. 8-10), który jednak nie ma </w:t>
            </w:r>
            <w:r w:rsidR="00C97390" w:rsidRPr="00957B06">
              <w:rPr>
                <w:sz w:val="22"/>
                <w:szCs w:val="22"/>
                <w:lang w:eastAsia="en-US"/>
              </w:rPr>
              <w:t xml:space="preserve">realnych </w:t>
            </w:r>
            <w:r w:rsidRPr="00957B06">
              <w:rPr>
                <w:sz w:val="22"/>
                <w:szCs w:val="22"/>
                <w:lang w:eastAsia="en-US"/>
              </w:rPr>
              <w:t xml:space="preserve">narzędzi oddziaływania </w:t>
            </w:r>
            <w:r w:rsidR="00C97390" w:rsidRPr="00957B06">
              <w:rPr>
                <w:sz w:val="22"/>
                <w:szCs w:val="22"/>
                <w:lang w:eastAsia="en-US"/>
              </w:rPr>
              <w:t>w innych obszarach czy politykach publicznych, pozostających poza jego kompetencją</w:t>
            </w:r>
            <w:r w:rsidRPr="00957B06">
              <w:rPr>
                <w:sz w:val="22"/>
                <w:szCs w:val="22"/>
                <w:lang w:eastAsia="en-US"/>
              </w:rPr>
              <w:t xml:space="preserve">. </w:t>
            </w:r>
            <w:r w:rsidR="003932B3" w:rsidRPr="00957B06">
              <w:rPr>
                <w:sz w:val="22"/>
                <w:szCs w:val="22"/>
                <w:lang w:eastAsia="en-US"/>
              </w:rPr>
              <w:t>Centralny ośrodek koordynacji</w:t>
            </w:r>
            <w:r w:rsidR="00C97390" w:rsidRPr="00957B06">
              <w:rPr>
                <w:sz w:val="22"/>
                <w:szCs w:val="22"/>
                <w:lang w:eastAsia="en-US"/>
              </w:rPr>
              <w:t>, umiejscowiony bezpośrednio przy Prezesie Rady Ministrów</w:t>
            </w:r>
            <w:r w:rsidR="003932B3" w:rsidRPr="00957B06">
              <w:rPr>
                <w:sz w:val="22"/>
                <w:szCs w:val="22"/>
                <w:lang w:eastAsia="en-US"/>
              </w:rPr>
              <w:t xml:space="preserve"> pozwoliłby</w:t>
            </w:r>
            <w:r w:rsidR="00A35E2E">
              <w:rPr>
                <w:sz w:val="22"/>
                <w:szCs w:val="22"/>
                <w:lang w:eastAsia="en-US"/>
              </w:rPr>
              <w:t>,</w:t>
            </w:r>
            <w:r w:rsidR="00C97390" w:rsidRPr="00957B06">
              <w:rPr>
                <w:sz w:val="22"/>
                <w:szCs w:val="22"/>
                <w:lang w:eastAsia="en-US"/>
              </w:rPr>
              <w:t xml:space="preserve"> być może</w:t>
            </w:r>
            <w:r w:rsidR="00A35E2E">
              <w:rPr>
                <w:sz w:val="22"/>
                <w:szCs w:val="22"/>
                <w:lang w:eastAsia="en-US"/>
              </w:rPr>
              <w:t>,</w:t>
            </w:r>
            <w:r w:rsidR="00C97390" w:rsidRPr="00957B06">
              <w:rPr>
                <w:sz w:val="22"/>
                <w:szCs w:val="22"/>
                <w:lang w:eastAsia="en-US"/>
              </w:rPr>
              <w:t xml:space="preserve"> </w:t>
            </w:r>
            <w:r w:rsidR="003932B3" w:rsidRPr="00957B06">
              <w:rPr>
                <w:sz w:val="22"/>
                <w:szCs w:val="22"/>
                <w:lang w:eastAsia="en-US"/>
              </w:rPr>
              <w:t xml:space="preserve"> na</w:t>
            </w:r>
            <w:r w:rsidRPr="00957B06">
              <w:rPr>
                <w:sz w:val="22"/>
                <w:szCs w:val="22"/>
                <w:lang w:eastAsia="en-US"/>
              </w:rPr>
              <w:t xml:space="preserve"> </w:t>
            </w:r>
            <w:r w:rsidR="003932B3" w:rsidRPr="00957B06">
              <w:rPr>
                <w:sz w:val="22"/>
                <w:szCs w:val="22"/>
                <w:lang w:eastAsia="en-US"/>
              </w:rPr>
              <w:t xml:space="preserve">bardziej skuteczne </w:t>
            </w:r>
            <w:r w:rsidR="00C97390" w:rsidRPr="00957B06">
              <w:rPr>
                <w:sz w:val="22"/>
                <w:szCs w:val="22"/>
                <w:lang w:eastAsia="en-US"/>
              </w:rPr>
              <w:t xml:space="preserve">motywowanie do współpracy na rzecz dostępności. </w:t>
            </w:r>
          </w:p>
          <w:p w14:paraId="2A54098E" w14:textId="476DF69F" w:rsidR="00B743A1" w:rsidRPr="00957B06" w:rsidRDefault="00B743A1" w:rsidP="003932B3">
            <w:pPr>
              <w:pStyle w:val="NormalnyWeb"/>
              <w:spacing w:before="120" w:beforeAutospacing="0" w:after="120" w:afterAutospacing="0" w:line="276" w:lineRule="auto"/>
              <w:rPr>
                <w:sz w:val="22"/>
                <w:szCs w:val="22"/>
                <w:lang w:eastAsia="en-US"/>
              </w:rPr>
            </w:pPr>
            <w:r w:rsidRPr="00957B06">
              <w:rPr>
                <w:sz w:val="22"/>
                <w:szCs w:val="22"/>
                <w:lang w:eastAsia="en-US"/>
              </w:rPr>
              <w:t>Silne umocowanie mechanizm</w:t>
            </w:r>
            <w:r w:rsidR="00C97390" w:rsidRPr="00957B06">
              <w:rPr>
                <w:sz w:val="22"/>
                <w:szCs w:val="22"/>
                <w:lang w:eastAsia="en-US"/>
              </w:rPr>
              <w:t>u</w:t>
            </w:r>
            <w:r w:rsidRPr="00957B06">
              <w:rPr>
                <w:sz w:val="22"/>
                <w:szCs w:val="22"/>
                <w:lang w:eastAsia="en-US"/>
              </w:rPr>
              <w:t xml:space="preserve"> koordynacji mogłoby </w:t>
            </w:r>
            <w:r w:rsidR="001B0E9D" w:rsidRPr="00957B06">
              <w:rPr>
                <w:sz w:val="22"/>
                <w:szCs w:val="22"/>
                <w:lang w:eastAsia="en-US"/>
              </w:rPr>
              <w:t>dać podstawę</w:t>
            </w:r>
            <w:r w:rsidRPr="00957B06">
              <w:rPr>
                <w:sz w:val="22"/>
                <w:szCs w:val="22"/>
                <w:lang w:eastAsia="en-US"/>
              </w:rPr>
              <w:t xml:space="preserve"> </w:t>
            </w:r>
            <w:r w:rsidR="001B0E9D" w:rsidRPr="00957B06">
              <w:rPr>
                <w:sz w:val="22"/>
                <w:szCs w:val="22"/>
                <w:lang w:eastAsia="en-US"/>
              </w:rPr>
              <w:t>dla</w:t>
            </w:r>
            <w:r w:rsidRPr="00957B06">
              <w:rPr>
                <w:sz w:val="22"/>
                <w:szCs w:val="22"/>
                <w:lang w:eastAsia="en-US"/>
              </w:rPr>
              <w:t xml:space="preserve"> </w:t>
            </w:r>
            <w:r w:rsidRPr="00A35E2E">
              <w:rPr>
                <w:b/>
                <w:bCs/>
                <w:sz w:val="22"/>
                <w:szCs w:val="22"/>
                <w:lang w:eastAsia="en-US"/>
              </w:rPr>
              <w:t>s</w:t>
            </w:r>
            <w:r w:rsidRPr="00957B06">
              <w:rPr>
                <w:b/>
                <w:bCs/>
                <w:sz w:val="22"/>
                <w:szCs w:val="22"/>
                <w:lang w:eastAsia="en-US"/>
              </w:rPr>
              <w:t>zerokich</w:t>
            </w:r>
            <w:r w:rsidR="00090F59" w:rsidRPr="00957B06">
              <w:rPr>
                <w:b/>
                <w:bCs/>
                <w:sz w:val="22"/>
                <w:szCs w:val="22"/>
                <w:lang w:eastAsia="en-US"/>
              </w:rPr>
              <w:t>, pogłębionych</w:t>
            </w:r>
            <w:r w:rsidR="00E71CA6" w:rsidRPr="00957B06">
              <w:rPr>
                <w:b/>
                <w:bCs/>
                <w:sz w:val="22"/>
                <w:szCs w:val="22"/>
                <w:lang w:eastAsia="en-US"/>
              </w:rPr>
              <w:t xml:space="preserve"> zmian zakresu </w:t>
            </w:r>
            <w:r w:rsidRPr="00957B06">
              <w:rPr>
                <w:b/>
                <w:bCs/>
                <w:sz w:val="22"/>
                <w:szCs w:val="22"/>
                <w:lang w:eastAsia="en-US"/>
              </w:rPr>
              <w:t xml:space="preserve">analizowanej </w:t>
            </w:r>
            <w:r w:rsidR="00E71CA6" w:rsidRPr="00957B06">
              <w:rPr>
                <w:b/>
                <w:bCs/>
                <w:sz w:val="22"/>
                <w:szCs w:val="22"/>
                <w:lang w:eastAsia="en-US"/>
              </w:rPr>
              <w:t>ustawy</w:t>
            </w:r>
            <w:r w:rsidR="00090F59" w:rsidRPr="00957B06">
              <w:rPr>
                <w:b/>
                <w:bCs/>
                <w:sz w:val="22"/>
                <w:szCs w:val="22"/>
                <w:lang w:eastAsia="en-US"/>
              </w:rPr>
              <w:t>, które docelowo powinny objąć</w:t>
            </w:r>
            <w:r w:rsidRPr="00957B06">
              <w:rPr>
                <w:sz w:val="22"/>
                <w:szCs w:val="22"/>
                <w:lang w:eastAsia="en-US"/>
              </w:rPr>
              <w:t>:</w:t>
            </w:r>
          </w:p>
          <w:p w14:paraId="2B96956C" w14:textId="77777777" w:rsidR="009028A3" w:rsidRPr="00957B06" w:rsidRDefault="009028A3" w:rsidP="009028A3">
            <w:pPr>
              <w:pStyle w:val="Akapitzlist"/>
              <w:numPr>
                <w:ilvl w:val="0"/>
                <w:numId w:val="44"/>
              </w:numPr>
              <w:tabs>
                <w:tab w:val="num" w:pos="582"/>
              </w:tabs>
              <w:spacing w:before="120" w:after="120" w:line="276" w:lineRule="auto"/>
              <w:ind w:left="582" w:hanging="425"/>
            </w:pPr>
            <w:r w:rsidRPr="00957B06">
              <w:t>połączenie 3 odrębnych ustaw o dostępności w jedną, spójną regulację;</w:t>
            </w:r>
          </w:p>
          <w:p w14:paraId="2D82D418" w14:textId="1E85446F" w:rsidR="00B743A1" w:rsidRPr="00957B06" w:rsidRDefault="00B743A1" w:rsidP="009028A3">
            <w:pPr>
              <w:pStyle w:val="Akapitzlist"/>
              <w:numPr>
                <w:ilvl w:val="0"/>
                <w:numId w:val="44"/>
              </w:numPr>
              <w:tabs>
                <w:tab w:val="num" w:pos="582"/>
              </w:tabs>
              <w:spacing w:before="120" w:after="120" w:line="276" w:lineRule="auto"/>
              <w:ind w:left="582" w:hanging="425"/>
            </w:pPr>
            <w:r w:rsidRPr="00957B06">
              <w:t xml:space="preserve">rozszerzenie zakresu podmiotowego </w:t>
            </w:r>
            <w:r w:rsidR="009028A3">
              <w:t xml:space="preserve">przepisów </w:t>
            </w:r>
            <w:r w:rsidRPr="00957B06">
              <w:t>o  podmioty  świadczące usługi w interesie ogólnym, w tym usługi publiczne i usługi użyteczności publicznej (usługi powszechne)</w:t>
            </w:r>
            <w:r w:rsidR="00090F59" w:rsidRPr="00957B06">
              <w:t>,</w:t>
            </w:r>
            <w:r w:rsidRPr="00957B06">
              <w:t xml:space="preserve"> </w:t>
            </w:r>
            <w:r w:rsidR="009028A3">
              <w:t xml:space="preserve">w tym </w:t>
            </w:r>
            <w:r w:rsidR="00090F59" w:rsidRPr="00957B06">
              <w:t>m.in.</w:t>
            </w:r>
            <w:r w:rsidRPr="00957B06">
              <w:t xml:space="preserve"> niepubliczne</w:t>
            </w:r>
            <w:r w:rsidR="00090F59" w:rsidRPr="00957B06">
              <w:t xml:space="preserve"> </w:t>
            </w:r>
            <w:r w:rsidRPr="00957B06">
              <w:t>gabinety lekarskie, szpitale</w:t>
            </w:r>
            <w:r w:rsidR="00090F59" w:rsidRPr="00957B06">
              <w:t>,</w:t>
            </w:r>
            <w:r w:rsidRPr="00957B06">
              <w:t xml:space="preserve"> domy pomocy społecznej, </w:t>
            </w:r>
            <w:r w:rsidR="00090F59" w:rsidRPr="00957B06">
              <w:t xml:space="preserve">sanatoria, </w:t>
            </w:r>
            <w:r w:rsidRPr="00957B06">
              <w:t xml:space="preserve">usługi edukacyjne, w tym </w:t>
            </w:r>
            <w:r w:rsidR="00090F59" w:rsidRPr="00957B06">
              <w:t xml:space="preserve">np. </w:t>
            </w:r>
            <w:r w:rsidRPr="00957B06">
              <w:t>niepubliczne szkoły, przedszkola i uczelnie</w:t>
            </w:r>
            <w:r w:rsidR="00A35E2E">
              <w:t>,</w:t>
            </w:r>
            <w:r w:rsidR="00090F59" w:rsidRPr="00957B06">
              <w:t xml:space="preserve"> i inne</w:t>
            </w:r>
            <w:r w:rsidR="00992BB8" w:rsidRPr="00957B06">
              <w:t>,</w:t>
            </w:r>
          </w:p>
          <w:p w14:paraId="4531DEBB" w14:textId="66CEBD8E" w:rsidR="00090F59" w:rsidRPr="00957B06" w:rsidRDefault="00B21AD3" w:rsidP="009028A3">
            <w:pPr>
              <w:pStyle w:val="Akapitzlist"/>
              <w:numPr>
                <w:ilvl w:val="0"/>
                <w:numId w:val="44"/>
              </w:numPr>
              <w:tabs>
                <w:tab w:val="num" w:pos="582"/>
              </w:tabs>
              <w:spacing w:before="120" w:after="120" w:line="276" w:lineRule="auto"/>
              <w:ind w:left="582" w:hanging="425"/>
            </w:pPr>
            <w:r w:rsidRPr="00957B06">
              <w:t>w</w:t>
            </w:r>
            <w:r w:rsidR="00992BB8" w:rsidRPr="00467BD3">
              <w:t>zmocnienie funkcji  koordynatorów/</w:t>
            </w:r>
            <w:proofErr w:type="spellStart"/>
            <w:r w:rsidR="00992BB8" w:rsidRPr="00467BD3">
              <w:t>ek</w:t>
            </w:r>
            <w:proofErr w:type="spellEnd"/>
            <w:r w:rsidR="00992BB8" w:rsidRPr="00467BD3">
              <w:t xml:space="preserve"> i zespołów do spraw dostępności</w:t>
            </w:r>
            <w:r w:rsidR="009028A3">
              <w:t>,</w:t>
            </w:r>
            <w:r w:rsidRPr="00467BD3">
              <w:t xml:space="preserve"> poprzez konieczność </w:t>
            </w:r>
            <w:r w:rsidR="00090F59" w:rsidRPr="00467BD3">
              <w:t>ich powoływania w każdym podmiocie i zapewnienia im zasobów odpowiednich do skutecznej realizacji ich funkcji</w:t>
            </w:r>
            <w:r w:rsidR="00A35E2E">
              <w:t>,</w:t>
            </w:r>
            <w:r w:rsidR="00090F59" w:rsidRPr="00467BD3">
              <w:t xml:space="preserve"> </w:t>
            </w:r>
          </w:p>
          <w:p w14:paraId="7642E9B5" w14:textId="6677EFEB" w:rsidR="00090F59" w:rsidRPr="00957B06" w:rsidRDefault="00090F59" w:rsidP="009028A3">
            <w:pPr>
              <w:pStyle w:val="Akapitzlist"/>
              <w:numPr>
                <w:ilvl w:val="0"/>
                <w:numId w:val="44"/>
              </w:numPr>
              <w:tabs>
                <w:tab w:val="num" w:pos="582"/>
              </w:tabs>
              <w:spacing w:before="120" w:after="120" w:line="276" w:lineRule="auto"/>
              <w:ind w:left="582" w:hanging="425"/>
            </w:pPr>
            <w:r w:rsidRPr="00957B06">
              <w:t xml:space="preserve">zobowiązanie właściwych ministrów do realnego </w:t>
            </w:r>
            <w:r w:rsidR="00A34CBC" w:rsidRPr="00957B06">
              <w:t>zapewnienia dostępności w poszczególnych politykach i sektorach, poprzez m.in. uzależnienie zasad finansowania usług publicznych od kwestii zapewniania ich dostępności</w:t>
            </w:r>
            <w:r w:rsidR="00A35E2E">
              <w:t>,</w:t>
            </w:r>
          </w:p>
          <w:p w14:paraId="450F607E" w14:textId="223C0807" w:rsidR="00090F59" w:rsidRPr="00957B06" w:rsidRDefault="00090F59" w:rsidP="009028A3">
            <w:pPr>
              <w:pStyle w:val="Akapitzlist"/>
              <w:numPr>
                <w:ilvl w:val="0"/>
                <w:numId w:val="44"/>
              </w:numPr>
              <w:tabs>
                <w:tab w:val="num" w:pos="582"/>
              </w:tabs>
              <w:spacing w:before="120" w:after="120" w:line="276" w:lineRule="auto"/>
              <w:ind w:left="582" w:hanging="425"/>
            </w:pPr>
            <w:r w:rsidRPr="00957B06">
              <w:t>powołanie odrębnej instytucji</w:t>
            </w:r>
            <w:r w:rsidR="009028A3">
              <w:t>,</w:t>
            </w:r>
            <w:r w:rsidRPr="00957B06">
              <w:t xml:space="preserve"> opracowującej standardy dostępności, które byłyby obligatoryjnie stosowane w całym sektorze publicznym (</w:t>
            </w:r>
            <w:r w:rsidR="009028A3">
              <w:t xml:space="preserve">np. </w:t>
            </w:r>
            <w:r w:rsidRPr="00957B06">
              <w:t>na wzór Access Board</w:t>
            </w:r>
            <w:r w:rsidR="009028A3">
              <w:t xml:space="preserve"> w USA, ENRAC w </w:t>
            </w:r>
            <w:r w:rsidR="00FB769C">
              <w:t>Wielkiej Brytanii</w:t>
            </w:r>
            <w:r w:rsidR="009028A3">
              <w:t xml:space="preserve"> lub ASC w Kanadzie</w:t>
            </w:r>
            <w:r w:rsidRPr="00957B06">
              <w:t>)</w:t>
            </w:r>
            <w:r w:rsidR="00A35E2E">
              <w:t>,</w:t>
            </w:r>
          </w:p>
          <w:p w14:paraId="36FB668C" w14:textId="281A5103" w:rsidR="00090F59" w:rsidRPr="00957B06" w:rsidRDefault="00090F59" w:rsidP="009028A3">
            <w:pPr>
              <w:pStyle w:val="Akapitzlist"/>
              <w:numPr>
                <w:ilvl w:val="0"/>
                <w:numId w:val="44"/>
              </w:numPr>
              <w:tabs>
                <w:tab w:val="num" w:pos="582"/>
              </w:tabs>
              <w:spacing w:before="120" w:after="120" w:line="276" w:lineRule="auto"/>
              <w:ind w:left="582" w:hanging="425"/>
            </w:pPr>
            <w:r w:rsidRPr="00957B06">
              <w:t>wprowadzenie Inspektoratu dostępności, jako służby zajmującej się monitorowaniem i kontrolowaniem real</w:t>
            </w:r>
            <w:r w:rsidR="003D29F2" w:rsidRPr="00957B06">
              <w:t>i</w:t>
            </w:r>
            <w:r w:rsidRPr="00957B06">
              <w:t>zacji przepisów regulujących dostępność i przestrzeganie standardów</w:t>
            </w:r>
            <w:r w:rsidR="00A35E2E">
              <w:t>.</w:t>
            </w:r>
            <w:r w:rsidRPr="00957B06">
              <w:t xml:space="preserve"> </w:t>
            </w:r>
          </w:p>
          <w:p w14:paraId="54776F62" w14:textId="1F190EEF" w:rsidR="00E71CA6" w:rsidRPr="00957B06" w:rsidRDefault="00002CD1" w:rsidP="00E71CA6">
            <w:pPr>
              <w:pStyle w:val="NormalnyWeb"/>
              <w:spacing w:before="120" w:beforeAutospacing="0" w:after="120" w:afterAutospacing="0" w:line="276" w:lineRule="auto"/>
              <w:rPr>
                <w:sz w:val="22"/>
                <w:szCs w:val="22"/>
                <w:lang w:eastAsia="en-US"/>
              </w:rPr>
            </w:pPr>
            <w:r w:rsidRPr="00957B06">
              <w:rPr>
                <w:sz w:val="22"/>
                <w:szCs w:val="22"/>
                <w:lang w:eastAsia="en-US"/>
              </w:rPr>
              <w:t xml:space="preserve">Takie podejście </w:t>
            </w:r>
            <w:r w:rsidR="00661D53" w:rsidRPr="00957B06">
              <w:rPr>
                <w:sz w:val="22"/>
                <w:szCs w:val="22"/>
                <w:lang w:eastAsia="en-US"/>
              </w:rPr>
              <w:t>wymaga</w:t>
            </w:r>
            <w:r w:rsidR="00090F59" w:rsidRPr="00957B06">
              <w:rPr>
                <w:sz w:val="22"/>
                <w:szCs w:val="22"/>
                <w:lang w:eastAsia="en-US"/>
              </w:rPr>
              <w:t xml:space="preserve"> jednak</w:t>
            </w:r>
            <w:r w:rsidR="00661D53" w:rsidRPr="00957B06">
              <w:rPr>
                <w:sz w:val="22"/>
                <w:szCs w:val="22"/>
                <w:lang w:eastAsia="en-US"/>
              </w:rPr>
              <w:t xml:space="preserve"> </w:t>
            </w:r>
            <w:r w:rsidR="00E71CA6" w:rsidRPr="00957B06">
              <w:rPr>
                <w:sz w:val="22"/>
                <w:szCs w:val="22"/>
                <w:lang w:eastAsia="en-US"/>
              </w:rPr>
              <w:t>dalszej, pogłębionej dyskusji</w:t>
            </w:r>
            <w:r w:rsidR="00090F59" w:rsidRPr="00957B06">
              <w:rPr>
                <w:sz w:val="22"/>
                <w:szCs w:val="22"/>
                <w:lang w:eastAsia="en-US"/>
              </w:rPr>
              <w:t xml:space="preserve">, inwestycji w powołanie nowych instytucji i alokacji na ten cel zasobów budżetowych, </w:t>
            </w:r>
            <w:r w:rsidR="007E6DFA" w:rsidRPr="00957B06">
              <w:rPr>
                <w:sz w:val="22"/>
                <w:szCs w:val="22"/>
                <w:lang w:eastAsia="en-US"/>
              </w:rPr>
              <w:t>oraz podjęcia decyzji</w:t>
            </w:r>
            <w:r w:rsidR="00E71CA6" w:rsidRPr="00957B06">
              <w:rPr>
                <w:sz w:val="22"/>
                <w:szCs w:val="22"/>
                <w:lang w:eastAsia="en-US"/>
              </w:rPr>
              <w:t xml:space="preserve"> </w:t>
            </w:r>
            <w:r w:rsidR="00090F59" w:rsidRPr="00957B06">
              <w:rPr>
                <w:sz w:val="22"/>
                <w:szCs w:val="22"/>
                <w:lang w:eastAsia="en-US"/>
              </w:rPr>
              <w:t xml:space="preserve">o nadaniu wysokiej rangi priorytetom dostępności, tak by nie budziły one wątpliwości </w:t>
            </w:r>
            <w:r w:rsidR="00E71CA6" w:rsidRPr="00957B06">
              <w:rPr>
                <w:sz w:val="22"/>
                <w:szCs w:val="22"/>
                <w:lang w:eastAsia="en-US"/>
              </w:rPr>
              <w:t>w ramach Rady Ministrów.</w:t>
            </w:r>
            <w:r w:rsidR="00FB769C">
              <w:rPr>
                <w:sz w:val="22"/>
                <w:szCs w:val="22"/>
                <w:lang w:eastAsia="en-US"/>
              </w:rPr>
              <w:t xml:space="preserve"> </w:t>
            </w:r>
            <w:r w:rsidR="00661D53" w:rsidRPr="00957B06">
              <w:rPr>
                <w:sz w:val="22"/>
                <w:szCs w:val="22"/>
                <w:lang w:eastAsia="en-US"/>
              </w:rPr>
              <w:t>Biorąc</w:t>
            </w:r>
            <w:r w:rsidR="001B0E9D" w:rsidRPr="00957B06">
              <w:rPr>
                <w:sz w:val="22"/>
                <w:szCs w:val="22"/>
                <w:lang w:eastAsia="en-US"/>
              </w:rPr>
              <w:t xml:space="preserve"> jednak</w:t>
            </w:r>
            <w:r w:rsidR="00661D53" w:rsidRPr="00957B06">
              <w:rPr>
                <w:sz w:val="22"/>
                <w:szCs w:val="22"/>
                <w:lang w:eastAsia="en-US"/>
              </w:rPr>
              <w:t xml:space="preserve"> pod uwagę aktualną sytuację</w:t>
            </w:r>
            <w:r w:rsidR="007E6DFA" w:rsidRPr="00957B06">
              <w:rPr>
                <w:sz w:val="22"/>
                <w:szCs w:val="22"/>
                <w:lang w:eastAsia="en-US"/>
              </w:rPr>
              <w:t xml:space="preserve"> </w:t>
            </w:r>
            <w:r w:rsidR="00090F59" w:rsidRPr="00957B06">
              <w:rPr>
                <w:sz w:val="22"/>
                <w:szCs w:val="22"/>
                <w:lang w:eastAsia="en-US"/>
              </w:rPr>
              <w:t xml:space="preserve">i możliwości </w:t>
            </w:r>
            <w:r w:rsidR="007E6DFA" w:rsidRPr="00957B06">
              <w:rPr>
                <w:sz w:val="22"/>
                <w:szCs w:val="22"/>
                <w:lang w:eastAsia="en-US"/>
              </w:rPr>
              <w:t xml:space="preserve">ośrodka koordynacji </w:t>
            </w:r>
            <w:r w:rsidR="007E6DFA" w:rsidRPr="00957B06">
              <w:rPr>
                <w:sz w:val="22"/>
                <w:szCs w:val="22"/>
                <w:lang w:eastAsia="en-US"/>
              </w:rPr>
              <w:lastRenderedPageBreak/>
              <w:t>umiejscowionego w Ministerstwie Funduszy i Polityki Regionalnej, a przy tym szereg</w:t>
            </w:r>
            <w:r w:rsidR="00FB769C">
              <w:rPr>
                <w:sz w:val="22"/>
                <w:szCs w:val="22"/>
                <w:lang w:eastAsia="en-US"/>
              </w:rPr>
              <w:t xml:space="preserve"> istniejących </w:t>
            </w:r>
            <w:r w:rsidR="007E6DFA" w:rsidRPr="00957B06">
              <w:rPr>
                <w:sz w:val="22"/>
                <w:szCs w:val="22"/>
                <w:lang w:eastAsia="en-US"/>
              </w:rPr>
              <w:t xml:space="preserve"> niespójności </w:t>
            </w:r>
            <w:r w:rsidR="00090F59" w:rsidRPr="00957B06">
              <w:rPr>
                <w:sz w:val="22"/>
                <w:szCs w:val="22"/>
                <w:lang w:eastAsia="en-US"/>
              </w:rPr>
              <w:t xml:space="preserve">czy ograniczeń </w:t>
            </w:r>
            <w:r w:rsidR="007E6DFA" w:rsidRPr="00957B06">
              <w:rPr>
                <w:sz w:val="22"/>
                <w:szCs w:val="22"/>
                <w:lang w:eastAsia="en-US"/>
              </w:rPr>
              <w:t>zapisów ustawy</w:t>
            </w:r>
            <w:r w:rsidR="00090F59" w:rsidRPr="00957B06">
              <w:rPr>
                <w:sz w:val="22"/>
                <w:szCs w:val="22"/>
                <w:lang w:eastAsia="en-US"/>
              </w:rPr>
              <w:t>,</w:t>
            </w:r>
            <w:r w:rsidR="007E6DFA" w:rsidRPr="00957B06">
              <w:rPr>
                <w:sz w:val="22"/>
                <w:szCs w:val="22"/>
                <w:lang w:eastAsia="en-US"/>
              </w:rPr>
              <w:t xml:space="preserve"> powodujących problemy z jej praktycznym wdrażaniem, </w:t>
            </w:r>
            <w:r w:rsidR="00661D53" w:rsidRPr="00957B06">
              <w:rPr>
                <w:sz w:val="22"/>
                <w:szCs w:val="22"/>
                <w:lang w:eastAsia="en-US"/>
              </w:rPr>
              <w:t xml:space="preserve"> </w:t>
            </w:r>
            <w:r w:rsidR="00E71CA6" w:rsidRPr="00957B06">
              <w:rPr>
                <w:b/>
                <w:bCs/>
                <w:sz w:val="22"/>
                <w:szCs w:val="22"/>
                <w:lang w:eastAsia="en-US"/>
              </w:rPr>
              <w:t>proponuje</w:t>
            </w:r>
            <w:r w:rsidR="00090F59" w:rsidRPr="00957B06">
              <w:rPr>
                <w:b/>
                <w:bCs/>
                <w:sz w:val="22"/>
                <w:szCs w:val="22"/>
                <w:lang w:eastAsia="en-US"/>
              </w:rPr>
              <w:t xml:space="preserve"> się</w:t>
            </w:r>
            <w:r w:rsidR="00E71CA6" w:rsidRPr="00957B06">
              <w:rPr>
                <w:b/>
                <w:bCs/>
                <w:sz w:val="22"/>
                <w:szCs w:val="22"/>
                <w:lang w:eastAsia="en-US"/>
              </w:rPr>
              <w:t xml:space="preserve"> </w:t>
            </w:r>
            <w:r w:rsidR="007E6DFA" w:rsidRPr="00957B06">
              <w:rPr>
                <w:b/>
                <w:bCs/>
                <w:sz w:val="22"/>
                <w:szCs w:val="22"/>
                <w:lang w:eastAsia="en-US"/>
              </w:rPr>
              <w:t>przeprowadzenie „małej” nowelizacji</w:t>
            </w:r>
            <w:r w:rsidR="00E71CA6" w:rsidRPr="00957B06">
              <w:rPr>
                <w:b/>
                <w:bCs/>
                <w:sz w:val="22"/>
                <w:szCs w:val="22"/>
                <w:lang w:eastAsia="en-US"/>
              </w:rPr>
              <w:t>,</w:t>
            </w:r>
            <w:r w:rsidR="007E6DFA" w:rsidRPr="00957B06">
              <w:rPr>
                <w:b/>
                <w:bCs/>
                <w:sz w:val="22"/>
                <w:szCs w:val="22"/>
                <w:lang w:eastAsia="en-US"/>
              </w:rPr>
              <w:t xml:space="preserve"> która wiązałaby się przede wszystkim z uporządkowaniem przepisów, zapewnieniem ich spójności, jednocześnie</w:t>
            </w:r>
            <w:r w:rsidR="00E71CA6" w:rsidRPr="00957B06">
              <w:rPr>
                <w:b/>
                <w:bCs/>
                <w:sz w:val="22"/>
                <w:szCs w:val="22"/>
                <w:lang w:eastAsia="en-US"/>
              </w:rPr>
              <w:t xml:space="preserve"> bez</w:t>
            </w:r>
            <w:r w:rsidR="007E6DFA" w:rsidRPr="00957B06">
              <w:rPr>
                <w:b/>
                <w:bCs/>
                <w:sz w:val="22"/>
                <w:szCs w:val="22"/>
                <w:lang w:eastAsia="en-US"/>
              </w:rPr>
              <w:t xml:space="preserve"> potrzeby ponoszenia dodatkowych</w:t>
            </w:r>
            <w:r w:rsidR="00E71CA6" w:rsidRPr="00957B06">
              <w:rPr>
                <w:b/>
                <w:bCs/>
                <w:sz w:val="22"/>
                <w:szCs w:val="22"/>
                <w:lang w:eastAsia="en-US"/>
              </w:rPr>
              <w:t xml:space="preserve"> kosztów</w:t>
            </w:r>
            <w:r w:rsidR="007E6DFA" w:rsidRPr="00957B06">
              <w:rPr>
                <w:b/>
                <w:bCs/>
                <w:sz w:val="22"/>
                <w:szCs w:val="22"/>
                <w:lang w:eastAsia="en-US"/>
              </w:rPr>
              <w:t xml:space="preserve"> przez skarb państwa.</w:t>
            </w:r>
            <w:r w:rsidR="007E6DFA" w:rsidRPr="00957B06">
              <w:rPr>
                <w:sz w:val="22"/>
                <w:szCs w:val="22"/>
                <w:lang w:eastAsia="en-US"/>
              </w:rPr>
              <w:t xml:space="preserve"> </w:t>
            </w:r>
          </w:p>
          <w:p w14:paraId="38608FEE" w14:textId="04B1C53F" w:rsidR="00A05585" w:rsidRPr="00957B06" w:rsidRDefault="00A34CBC" w:rsidP="00183570">
            <w:pPr>
              <w:pStyle w:val="NormalnyWeb"/>
              <w:spacing w:before="120" w:beforeAutospacing="0" w:after="120" w:afterAutospacing="0" w:line="276" w:lineRule="auto"/>
              <w:rPr>
                <w:sz w:val="22"/>
                <w:szCs w:val="22"/>
                <w:lang w:eastAsia="en-US"/>
              </w:rPr>
            </w:pPr>
            <w:r w:rsidRPr="002A57D2">
              <w:rPr>
                <w:sz w:val="22"/>
                <w:szCs w:val="22"/>
                <w:lang w:eastAsia="en-US"/>
              </w:rPr>
              <w:t xml:space="preserve">Aktualnie opracowywane są w </w:t>
            </w:r>
            <w:proofErr w:type="spellStart"/>
            <w:r w:rsidRPr="002A57D2">
              <w:rPr>
                <w:sz w:val="22"/>
                <w:szCs w:val="22"/>
                <w:lang w:eastAsia="en-US"/>
              </w:rPr>
              <w:t>MFiPR</w:t>
            </w:r>
            <w:proofErr w:type="spellEnd"/>
            <w:r w:rsidR="00566FAA" w:rsidRPr="00957B06">
              <w:rPr>
                <w:sz w:val="22"/>
                <w:szCs w:val="22"/>
                <w:lang w:eastAsia="en-US"/>
              </w:rPr>
              <w:t xml:space="preserve"> propozycje zmian</w:t>
            </w:r>
            <w:r w:rsidRPr="00957B06">
              <w:rPr>
                <w:sz w:val="22"/>
                <w:szCs w:val="22"/>
                <w:lang w:eastAsia="en-US"/>
              </w:rPr>
              <w:t>y</w:t>
            </w:r>
            <w:r w:rsidR="00566FAA" w:rsidRPr="00957B06">
              <w:rPr>
                <w:sz w:val="22"/>
                <w:szCs w:val="22"/>
                <w:lang w:eastAsia="en-US"/>
              </w:rPr>
              <w:t xml:space="preserve"> </w:t>
            </w:r>
            <w:r w:rsidR="007D2BA6" w:rsidRPr="00957B06">
              <w:rPr>
                <w:sz w:val="22"/>
                <w:szCs w:val="22"/>
                <w:lang w:eastAsia="en-US"/>
              </w:rPr>
              <w:t xml:space="preserve">przepisów </w:t>
            </w:r>
            <w:r w:rsidRPr="00957B06">
              <w:rPr>
                <w:sz w:val="22"/>
                <w:szCs w:val="22"/>
                <w:lang w:eastAsia="en-US"/>
              </w:rPr>
              <w:t xml:space="preserve">niniejszej </w:t>
            </w:r>
            <w:r w:rsidR="00566FAA" w:rsidRPr="00957B06">
              <w:rPr>
                <w:sz w:val="22"/>
                <w:szCs w:val="22"/>
                <w:lang w:eastAsia="en-US"/>
              </w:rPr>
              <w:t>ustawy</w:t>
            </w:r>
            <w:r w:rsidR="009028A3">
              <w:rPr>
                <w:sz w:val="22"/>
                <w:szCs w:val="22"/>
                <w:lang w:eastAsia="en-US"/>
              </w:rPr>
              <w:t>,</w:t>
            </w:r>
            <w:r w:rsidR="007E6DFA" w:rsidRPr="00957B06">
              <w:rPr>
                <w:sz w:val="22"/>
                <w:szCs w:val="22"/>
                <w:lang w:eastAsia="en-US"/>
              </w:rPr>
              <w:t xml:space="preserve"> </w:t>
            </w:r>
            <w:r w:rsidR="009028A3">
              <w:rPr>
                <w:sz w:val="22"/>
                <w:szCs w:val="22"/>
                <w:lang w:eastAsia="en-US"/>
              </w:rPr>
              <w:t>mające na celu m.in.</w:t>
            </w:r>
            <w:r w:rsidR="007E6DFA" w:rsidRPr="00957B06">
              <w:rPr>
                <w:sz w:val="22"/>
                <w:szCs w:val="22"/>
                <w:lang w:eastAsia="en-US"/>
              </w:rPr>
              <w:t>:</w:t>
            </w:r>
          </w:p>
          <w:p w14:paraId="468B62EB" w14:textId="1F260A61" w:rsidR="007E6DFA" w:rsidRPr="00957B06" w:rsidRDefault="007E6DFA">
            <w:pPr>
              <w:pStyle w:val="Akapitzlist"/>
              <w:numPr>
                <w:ilvl w:val="0"/>
                <w:numId w:val="32"/>
              </w:numPr>
              <w:spacing w:before="120" w:after="120"/>
            </w:pPr>
            <w:r w:rsidRPr="00957B06">
              <w:t>modyfikacj</w:t>
            </w:r>
            <w:r w:rsidR="009028A3">
              <w:t>ę</w:t>
            </w:r>
            <w:r w:rsidRPr="00957B06">
              <w:t xml:space="preserve"> definicji pojęcia „dostępność”, </w:t>
            </w:r>
            <w:r w:rsidR="00A34CBC" w:rsidRPr="00957B06">
              <w:t xml:space="preserve">które powinno być </w:t>
            </w:r>
            <w:r w:rsidRPr="00957B06">
              <w:t>rezultat</w:t>
            </w:r>
            <w:r w:rsidR="00A34CBC" w:rsidRPr="00957B06">
              <w:t>em</w:t>
            </w:r>
            <w:r w:rsidRPr="00957B06">
              <w:t xml:space="preserve"> procesu </w:t>
            </w:r>
            <w:r w:rsidR="009028A3">
              <w:t xml:space="preserve">jakim </w:t>
            </w:r>
            <w:r w:rsidRPr="00957B06">
              <w:t xml:space="preserve"> jest zapewnienie osobom ze szczególnymi potrzebami możliwości samodzielnego skorzystania z usług publicznych. Tak sformułowane przepisy nie wyczerpują jednak katalogu działań, jakie podmiot zobowiązany może podjąć w ramach realizacji obowiązku zapewnienia dostępności swojej jednostki organizacyjnej,</w:t>
            </w:r>
          </w:p>
          <w:p w14:paraId="1A9BC85D" w14:textId="6C1B950A" w:rsidR="00F26A24" w:rsidRPr="00957B06" w:rsidRDefault="00F26A24" w:rsidP="001E28CF">
            <w:pPr>
              <w:pStyle w:val="Akapitzlist"/>
              <w:numPr>
                <w:ilvl w:val="0"/>
                <w:numId w:val="32"/>
              </w:numPr>
              <w:spacing w:before="120" w:after="120"/>
            </w:pPr>
            <w:r w:rsidRPr="00957B06">
              <w:t>dodanie aptek i niepublicznych placówek ochrony zdrowia jako podmiotów zobowiązanych do zapewnienia dostępności – na wniosek ministra właściwego ds. zdrowia</w:t>
            </w:r>
            <w:r w:rsidR="00165ADC">
              <w:t>,</w:t>
            </w:r>
            <w:r w:rsidRPr="00957B06">
              <w:t xml:space="preserve">  </w:t>
            </w:r>
          </w:p>
          <w:p w14:paraId="7A3531E8" w14:textId="6B8AC33B" w:rsidR="00E024BA" w:rsidRPr="00957B06" w:rsidRDefault="009028A3" w:rsidP="00E024BA">
            <w:pPr>
              <w:pStyle w:val="NormalnyWeb"/>
              <w:numPr>
                <w:ilvl w:val="0"/>
                <w:numId w:val="32"/>
              </w:numPr>
              <w:spacing w:before="120" w:beforeAutospacing="0" w:after="120" w:afterAutospacing="0" w:line="276" w:lineRule="auto"/>
              <w:rPr>
                <w:sz w:val="22"/>
                <w:szCs w:val="22"/>
                <w:lang w:eastAsia="en-US"/>
              </w:rPr>
            </w:pPr>
            <w:r>
              <w:rPr>
                <w:sz w:val="22"/>
                <w:szCs w:val="22"/>
                <w:lang w:eastAsia="en-US"/>
              </w:rPr>
              <w:t>u</w:t>
            </w:r>
            <w:r w:rsidR="007E6DFA" w:rsidRPr="00467BD3">
              <w:rPr>
                <w:sz w:val="22"/>
                <w:szCs w:val="22"/>
                <w:lang w:eastAsia="en-US"/>
              </w:rPr>
              <w:t>możliwi</w:t>
            </w:r>
            <w:r w:rsidR="00E024BA" w:rsidRPr="00467BD3">
              <w:rPr>
                <w:sz w:val="22"/>
                <w:szCs w:val="22"/>
                <w:lang w:eastAsia="en-US"/>
              </w:rPr>
              <w:t>enie</w:t>
            </w:r>
            <w:r w:rsidR="007E6DFA" w:rsidRPr="00467BD3">
              <w:rPr>
                <w:sz w:val="22"/>
                <w:szCs w:val="22"/>
                <w:lang w:eastAsia="en-US"/>
              </w:rPr>
              <w:t xml:space="preserve"> formułowani</w:t>
            </w:r>
            <w:r>
              <w:rPr>
                <w:sz w:val="22"/>
                <w:szCs w:val="22"/>
                <w:lang w:eastAsia="en-US"/>
              </w:rPr>
              <w:t>a</w:t>
            </w:r>
            <w:r w:rsidR="007E6DFA" w:rsidRPr="00467BD3">
              <w:rPr>
                <w:sz w:val="22"/>
                <w:szCs w:val="22"/>
                <w:lang w:eastAsia="en-US"/>
              </w:rPr>
              <w:t xml:space="preserve"> obowiązków w zakresie zapewnienia dostępności </w:t>
            </w:r>
            <w:r>
              <w:rPr>
                <w:sz w:val="22"/>
                <w:szCs w:val="22"/>
                <w:lang w:eastAsia="en-US"/>
              </w:rPr>
              <w:t xml:space="preserve">już </w:t>
            </w:r>
            <w:r w:rsidR="007E6DFA" w:rsidRPr="00467BD3">
              <w:rPr>
                <w:sz w:val="22"/>
                <w:szCs w:val="22"/>
                <w:lang w:eastAsia="en-US"/>
              </w:rPr>
              <w:t>na etapie składania ofert</w:t>
            </w:r>
            <w:r w:rsidR="00A34CBC" w:rsidRPr="00957B06">
              <w:rPr>
                <w:sz w:val="22"/>
                <w:szCs w:val="22"/>
                <w:lang w:eastAsia="en-US"/>
              </w:rPr>
              <w:t xml:space="preserve"> na real</w:t>
            </w:r>
            <w:r w:rsidR="003D29F2" w:rsidRPr="00957B06">
              <w:rPr>
                <w:sz w:val="22"/>
                <w:szCs w:val="22"/>
                <w:lang w:eastAsia="en-US"/>
              </w:rPr>
              <w:t>i</w:t>
            </w:r>
            <w:r w:rsidR="00A34CBC" w:rsidRPr="00957B06">
              <w:rPr>
                <w:sz w:val="22"/>
                <w:szCs w:val="22"/>
                <w:lang w:eastAsia="en-US"/>
              </w:rPr>
              <w:t>zację zadań publicznych</w:t>
            </w:r>
            <w:r>
              <w:rPr>
                <w:sz w:val="22"/>
                <w:szCs w:val="22"/>
                <w:lang w:eastAsia="en-US"/>
              </w:rPr>
              <w:t xml:space="preserve"> (przez samego oferenta)</w:t>
            </w:r>
            <w:r w:rsidR="007E6DFA" w:rsidRPr="00957B06">
              <w:rPr>
                <w:sz w:val="22"/>
                <w:szCs w:val="22"/>
                <w:lang w:eastAsia="en-US"/>
              </w:rPr>
              <w:t>, a więc w treści dokumentów aplikacyjnych, zamiast wyłącznie w samej umowie</w:t>
            </w:r>
            <w:r w:rsidR="00165ADC">
              <w:rPr>
                <w:sz w:val="22"/>
                <w:szCs w:val="22"/>
                <w:lang w:eastAsia="en-US"/>
              </w:rPr>
              <w:t>,</w:t>
            </w:r>
            <w:r>
              <w:rPr>
                <w:sz w:val="22"/>
                <w:szCs w:val="22"/>
                <w:lang w:eastAsia="en-US"/>
              </w:rPr>
              <w:t xml:space="preserve"> </w:t>
            </w:r>
          </w:p>
          <w:p w14:paraId="33F65066" w14:textId="2F8FB036" w:rsidR="00E024BA" w:rsidRPr="00957B06" w:rsidRDefault="00E024BA" w:rsidP="001E28CF">
            <w:pPr>
              <w:pStyle w:val="NormalnyWeb"/>
              <w:numPr>
                <w:ilvl w:val="0"/>
                <w:numId w:val="32"/>
              </w:numPr>
              <w:spacing w:before="120" w:beforeAutospacing="0" w:after="120" w:afterAutospacing="0" w:line="276" w:lineRule="auto"/>
              <w:rPr>
                <w:sz w:val="22"/>
                <w:szCs w:val="22"/>
                <w:lang w:eastAsia="en-US"/>
              </w:rPr>
            </w:pPr>
            <w:r w:rsidRPr="00957B06">
              <w:rPr>
                <w:sz w:val="22"/>
                <w:szCs w:val="22"/>
                <w:lang w:eastAsia="en-US"/>
              </w:rPr>
              <w:t>rozszerzenie zakresu obowiązku zapewnienia informacji dotyczących rozkładu pomieszczeń w taki sposób, aby zagwarantować możliwość zapoznania się z nimi co najmniej przy wykorzystaniu dwóch odmiennych kanałów komunikacji</w:t>
            </w:r>
            <w:r w:rsidR="00165ADC">
              <w:rPr>
                <w:sz w:val="22"/>
                <w:szCs w:val="22"/>
                <w:lang w:eastAsia="en-US"/>
              </w:rPr>
              <w:t>,</w:t>
            </w:r>
            <w:r w:rsidRPr="00957B06">
              <w:rPr>
                <w:sz w:val="22"/>
                <w:szCs w:val="22"/>
                <w:lang w:eastAsia="en-US"/>
              </w:rPr>
              <w:t xml:space="preserve"> </w:t>
            </w:r>
            <w:r w:rsidR="00165ADC">
              <w:rPr>
                <w:sz w:val="22"/>
                <w:szCs w:val="22"/>
                <w:lang w:eastAsia="en-US"/>
              </w:rPr>
              <w:t>d</w:t>
            </w:r>
            <w:r w:rsidRPr="00957B06">
              <w:rPr>
                <w:sz w:val="22"/>
                <w:szCs w:val="22"/>
                <w:lang w:eastAsia="en-US"/>
              </w:rPr>
              <w:t>otychczasowe brzmienie przepisu było nieprecyzyjne i dopuszczało sytuację, w której przekaz dźwiękowy stanowiłby jedyną formę udostępnienia informacji</w:t>
            </w:r>
            <w:r w:rsidR="00165ADC">
              <w:rPr>
                <w:sz w:val="22"/>
                <w:szCs w:val="22"/>
                <w:lang w:eastAsia="en-US"/>
              </w:rPr>
              <w:t>,</w:t>
            </w:r>
            <w:r w:rsidRPr="00957B06">
              <w:rPr>
                <w:sz w:val="22"/>
                <w:szCs w:val="22"/>
                <w:lang w:eastAsia="en-US"/>
              </w:rPr>
              <w:t xml:space="preserve"> </w:t>
            </w:r>
            <w:r w:rsidR="00165ADC">
              <w:rPr>
                <w:sz w:val="22"/>
                <w:szCs w:val="22"/>
                <w:lang w:eastAsia="en-US"/>
              </w:rPr>
              <w:t>w</w:t>
            </w:r>
            <w:r w:rsidRPr="00957B06">
              <w:rPr>
                <w:sz w:val="22"/>
                <w:szCs w:val="22"/>
                <w:lang w:eastAsia="en-US"/>
              </w:rPr>
              <w:t xml:space="preserve"> nowej redakcji wymogiem będzie zastosowanie co najmniej dwóch </w:t>
            </w:r>
            <w:r w:rsidR="00A34CBC" w:rsidRPr="00957B06">
              <w:rPr>
                <w:sz w:val="22"/>
                <w:szCs w:val="22"/>
                <w:lang w:eastAsia="en-US"/>
              </w:rPr>
              <w:t>kanałów</w:t>
            </w:r>
            <w:r w:rsidRPr="00957B06">
              <w:rPr>
                <w:sz w:val="22"/>
                <w:szCs w:val="22"/>
                <w:lang w:eastAsia="en-US"/>
              </w:rPr>
              <w:t xml:space="preserve"> komunikacji, zapewniających realną dostępność informacji</w:t>
            </w:r>
            <w:r w:rsidR="00165ADC">
              <w:rPr>
                <w:sz w:val="22"/>
                <w:szCs w:val="22"/>
                <w:lang w:eastAsia="en-US"/>
              </w:rPr>
              <w:t>,</w:t>
            </w:r>
          </w:p>
          <w:p w14:paraId="57A6C439" w14:textId="0ADD147A" w:rsidR="00F26A24" w:rsidRPr="00957B06" w:rsidRDefault="00F26A24">
            <w:pPr>
              <w:pStyle w:val="NormalnyWeb"/>
              <w:numPr>
                <w:ilvl w:val="0"/>
                <w:numId w:val="32"/>
              </w:numPr>
              <w:spacing w:before="120" w:beforeAutospacing="0" w:after="120" w:afterAutospacing="0" w:line="276" w:lineRule="auto"/>
              <w:rPr>
                <w:sz w:val="22"/>
                <w:szCs w:val="22"/>
                <w:lang w:eastAsia="en-US"/>
              </w:rPr>
            </w:pPr>
            <w:r w:rsidRPr="00957B06">
              <w:rPr>
                <w:sz w:val="22"/>
                <w:szCs w:val="22"/>
                <w:lang w:eastAsia="en-US"/>
              </w:rPr>
              <w:t>doprecyzowanie sytuacji</w:t>
            </w:r>
            <w:r w:rsidR="00165ADC">
              <w:rPr>
                <w:sz w:val="22"/>
                <w:szCs w:val="22"/>
                <w:lang w:eastAsia="en-US"/>
              </w:rPr>
              <w:t>,</w:t>
            </w:r>
            <w:r w:rsidRPr="00957B06">
              <w:rPr>
                <w:sz w:val="22"/>
                <w:szCs w:val="22"/>
                <w:lang w:eastAsia="en-US"/>
              </w:rPr>
              <w:t xml:space="preserve"> w których możliwy jest dostęp alternatywny w tym m.in. rezygnację z przesłanki trudności finansowych podmiotu publicznego, uzasadniającej rezygnację z zapewniania dostępności – obecne przepisy pozwalają na takie domniemanie</w:t>
            </w:r>
            <w:r w:rsidR="00165ADC">
              <w:rPr>
                <w:sz w:val="22"/>
                <w:szCs w:val="22"/>
                <w:lang w:eastAsia="en-US"/>
              </w:rPr>
              <w:t>,</w:t>
            </w:r>
          </w:p>
          <w:p w14:paraId="462D0F86" w14:textId="3A7A419C" w:rsidR="006069FB" w:rsidRPr="00467BD3" w:rsidRDefault="006069FB" w:rsidP="001E28CF">
            <w:pPr>
              <w:pStyle w:val="NormalnyWeb"/>
              <w:numPr>
                <w:ilvl w:val="0"/>
                <w:numId w:val="32"/>
              </w:numPr>
              <w:spacing w:before="120" w:beforeAutospacing="0" w:after="120" w:afterAutospacing="0" w:line="276" w:lineRule="auto"/>
              <w:rPr>
                <w:sz w:val="22"/>
                <w:szCs w:val="22"/>
              </w:rPr>
            </w:pPr>
            <w:r w:rsidRPr="00957B06">
              <w:rPr>
                <w:sz w:val="22"/>
                <w:szCs w:val="22"/>
                <w:lang w:eastAsia="en-US"/>
              </w:rPr>
              <w:t>konieczność prowadzenia monitoringu wniosków składanych do podmiotów publicznych o zapewnienie dostępności</w:t>
            </w:r>
            <w:r w:rsidR="00A34CBC" w:rsidRPr="00957B06">
              <w:rPr>
                <w:sz w:val="22"/>
                <w:szCs w:val="22"/>
                <w:lang w:eastAsia="en-US"/>
              </w:rPr>
              <w:t xml:space="preserve">  i z</w:t>
            </w:r>
            <w:r w:rsidRPr="00957B06">
              <w:rPr>
                <w:sz w:val="22"/>
                <w:szCs w:val="22"/>
                <w:lang w:eastAsia="en-US"/>
              </w:rPr>
              <w:t>apewnienie dostępu do zagregowanych informacji w tym zakresie</w:t>
            </w:r>
            <w:r w:rsidR="00165ADC">
              <w:rPr>
                <w:sz w:val="22"/>
                <w:szCs w:val="22"/>
                <w:lang w:eastAsia="en-US"/>
              </w:rPr>
              <w:t>,</w:t>
            </w:r>
          </w:p>
          <w:p w14:paraId="207DA74B" w14:textId="2EA37004" w:rsidR="00FE082B" w:rsidRPr="00957B06" w:rsidRDefault="00A34CBC" w:rsidP="006069FB">
            <w:pPr>
              <w:pStyle w:val="NormalnyWeb"/>
              <w:numPr>
                <w:ilvl w:val="0"/>
                <w:numId w:val="32"/>
              </w:numPr>
              <w:spacing w:before="120" w:beforeAutospacing="0" w:after="120" w:afterAutospacing="0" w:line="276" w:lineRule="auto"/>
              <w:rPr>
                <w:sz w:val="22"/>
                <w:szCs w:val="22"/>
                <w:lang w:eastAsia="en-US"/>
              </w:rPr>
            </w:pPr>
            <w:r w:rsidRPr="00957B06">
              <w:rPr>
                <w:sz w:val="22"/>
                <w:szCs w:val="22"/>
                <w:lang w:eastAsia="en-US"/>
              </w:rPr>
              <w:t xml:space="preserve">uproszczenia w </w:t>
            </w:r>
            <w:r w:rsidR="00FE082B" w:rsidRPr="00957B06">
              <w:rPr>
                <w:sz w:val="22"/>
                <w:szCs w:val="22"/>
                <w:lang w:eastAsia="en-US"/>
              </w:rPr>
              <w:t xml:space="preserve"> modyfikacji składu Rady Dostępności, </w:t>
            </w:r>
            <w:r w:rsidR="009028A3">
              <w:rPr>
                <w:sz w:val="22"/>
                <w:szCs w:val="22"/>
                <w:lang w:eastAsia="en-US"/>
              </w:rPr>
              <w:t>zwiększenie uprawnień</w:t>
            </w:r>
            <w:r w:rsidR="00FE082B" w:rsidRPr="00957B06">
              <w:rPr>
                <w:sz w:val="22"/>
                <w:szCs w:val="22"/>
                <w:lang w:eastAsia="en-US"/>
              </w:rPr>
              <w:t xml:space="preserve">  Przewodniczącego Rady do zmian w </w:t>
            </w:r>
            <w:r w:rsidR="009028A3">
              <w:rPr>
                <w:sz w:val="22"/>
                <w:szCs w:val="22"/>
                <w:lang w:eastAsia="en-US"/>
              </w:rPr>
              <w:t xml:space="preserve">jej </w:t>
            </w:r>
            <w:r w:rsidR="00FE082B" w:rsidRPr="00957B06">
              <w:rPr>
                <w:sz w:val="22"/>
                <w:szCs w:val="22"/>
                <w:lang w:eastAsia="en-US"/>
              </w:rPr>
              <w:t>składzie</w:t>
            </w:r>
            <w:r w:rsidR="009028A3">
              <w:rPr>
                <w:sz w:val="22"/>
                <w:szCs w:val="22"/>
                <w:lang w:eastAsia="en-US"/>
              </w:rPr>
              <w:t xml:space="preserve"> np.</w:t>
            </w:r>
            <w:r w:rsidR="00FE082B" w:rsidRPr="00957B06">
              <w:rPr>
                <w:sz w:val="22"/>
                <w:szCs w:val="22"/>
                <w:lang w:eastAsia="en-US"/>
              </w:rPr>
              <w:t xml:space="preserve"> w związku z brakiem aktywności </w:t>
            </w:r>
            <w:r w:rsidRPr="00957B06">
              <w:rPr>
                <w:sz w:val="22"/>
                <w:szCs w:val="22"/>
                <w:lang w:eastAsia="en-US"/>
              </w:rPr>
              <w:t xml:space="preserve">jej </w:t>
            </w:r>
            <w:r w:rsidR="00FE082B" w:rsidRPr="00957B06">
              <w:rPr>
                <w:sz w:val="22"/>
                <w:szCs w:val="22"/>
                <w:lang w:eastAsia="en-US"/>
              </w:rPr>
              <w:t>członk</w:t>
            </w:r>
            <w:r w:rsidRPr="00957B06">
              <w:rPr>
                <w:sz w:val="22"/>
                <w:szCs w:val="22"/>
                <w:lang w:eastAsia="en-US"/>
              </w:rPr>
              <w:t>ów</w:t>
            </w:r>
            <w:r w:rsidR="00FE082B" w:rsidRPr="00957B06">
              <w:rPr>
                <w:sz w:val="22"/>
                <w:szCs w:val="22"/>
                <w:lang w:eastAsia="en-US"/>
              </w:rPr>
              <w:t>,</w:t>
            </w:r>
          </w:p>
          <w:p w14:paraId="151D8E99" w14:textId="7F33CBAB" w:rsidR="00A34CBC" w:rsidRPr="00957B06" w:rsidRDefault="00FE082B" w:rsidP="00D34D8F">
            <w:pPr>
              <w:pStyle w:val="NormalnyWeb"/>
              <w:numPr>
                <w:ilvl w:val="0"/>
                <w:numId w:val="32"/>
              </w:numPr>
              <w:spacing w:before="120" w:beforeAutospacing="0" w:after="120" w:afterAutospacing="0" w:line="276" w:lineRule="auto"/>
              <w:rPr>
                <w:sz w:val="22"/>
                <w:szCs w:val="22"/>
                <w:lang w:eastAsia="en-US"/>
              </w:rPr>
            </w:pPr>
            <w:r w:rsidRPr="00957B06">
              <w:rPr>
                <w:sz w:val="22"/>
                <w:szCs w:val="22"/>
                <w:lang w:eastAsia="en-US"/>
              </w:rPr>
              <w:t>wzmocnienie roli koordynatorów dostępności oraz zapewnienia wsparcia ze strony kierownictwa podmiotu, który wyznaczył koordynatora</w:t>
            </w:r>
            <w:r w:rsidR="00165ADC">
              <w:rPr>
                <w:sz w:val="22"/>
                <w:szCs w:val="22"/>
                <w:lang w:eastAsia="en-US"/>
              </w:rPr>
              <w:t>,</w:t>
            </w:r>
            <w:r w:rsidRPr="00957B06">
              <w:rPr>
                <w:sz w:val="22"/>
                <w:szCs w:val="22"/>
                <w:lang w:eastAsia="en-US"/>
              </w:rPr>
              <w:t xml:space="preserve"> </w:t>
            </w:r>
          </w:p>
          <w:p w14:paraId="73B62D2E" w14:textId="55BBB589" w:rsidR="00A34CBC" w:rsidRPr="00957B06" w:rsidRDefault="00FE082B" w:rsidP="00D34D8F">
            <w:pPr>
              <w:pStyle w:val="NormalnyWeb"/>
              <w:numPr>
                <w:ilvl w:val="0"/>
                <w:numId w:val="32"/>
              </w:numPr>
              <w:spacing w:before="120" w:beforeAutospacing="0" w:after="120" w:afterAutospacing="0" w:line="276" w:lineRule="auto"/>
              <w:rPr>
                <w:sz w:val="22"/>
                <w:szCs w:val="22"/>
                <w:lang w:eastAsia="en-US"/>
              </w:rPr>
            </w:pPr>
            <w:r w:rsidRPr="00957B06">
              <w:rPr>
                <w:sz w:val="22"/>
                <w:szCs w:val="22"/>
                <w:lang w:eastAsia="en-US"/>
              </w:rPr>
              <w:t>doprecyzowanie obowiązków koordynatora w zakresie przygotowania raportu podmiot</w:t>
            </w:r>
            <w:r w:rsidR="00A34CBC" w:rsidRPr="00957B06">
              <w:rPr>
                <w:sz w:val="22"/>
                <w:szCs w:val="22"/>
                <w:lang w:eastAsia="en-US"/>
              </w:rPr>
              <w:t>u</w:t>
            </w:r>
            <w:r w:rsidRPr="00957B06">
              <w:rPr>
                <w:sz w:val="22"/>
                <w:szCs w:val="22"/>
                <w:lang w:eastAsia="en-US"/>
              </w:rPr>
              <w:t xml:space="preserve"> publicznego o stanie zapewnienia dostępności, </w:t>
            </w:r>
          </w:p>
          <w:p w14:paraId="5624384D" w14:textId="1D30332C" w:rsidR="00D34D8F" w:rsidRPr="00957B06" w:rsidRDefault="00FE082B" w:rsidP="00D34D8F">
            <w:pPr>
              <w:pStyle w:val="NormalnyWeb"/>
              <w:numPr>
                <w:ilvl w:val="0"/>
                <w:numId w:val="32"/>
              </w:numPr>
              <w:spacing w:before="120" w:beforeAutospacing="0" w:after="120" w:afterAutospacing="0" w:line="276" w:lineRule="auto"/>
              <w:rPr>
                <w:sz w:val="22"/>
                <w:szCs w:val="22"/>
                <w:lang w:eastAsia="en-US"/>
              </w:rPr>
            </w:pPr>
            <w:r w:rsidRPr="00957B06">
              <w:rPr>
                <w:sz w:val="22"/>
                <w:szCs w:val="22"/>
                <w:lang w:eastAsia="en-US"/>
              </w:rPr>
              <w:t>wprowadzenie rejestru koordynatorów celem zapewnienia możliwości nawiązania kontaktów i wymiany doświadczeń pomiędzy koordynatorami z różnych podmiotów,</w:t>
            </w:r>
          </w:p>
          <w:p w14:paraId="7E210C44" w14:textId="0E6E4920" w:rsidR="00D34D8F" w:rsidRPr="00957B06" w:rsidRDefault="00D34D8F" w:rsidP="001E28CF">
            <w:pPr>
              <w:pStyle w:val="NormalnyWeb"/>
              <w:numPr>
                <w:ilvl w:val="0"/>
                <w:numId w:val="32"/>
              </w:numPr>
              <w:spacing w:before="120" w:beforeAutospacing="0" w:after="120" w:afterAutospacing="0" w:line="276" w:lineRule="auto"/>
            </w:pPr>
            <w:r w:rsidRPr="00957B06">
              <w:rPr>
                <w:sz w:val="22"/>
                <w:szCs w:val="22"/>
                <w:lang w:eastAsia="en-US"/>
              </w:rPr>
              <w:t xml:space="preserve">wprowadzenie zmian w rozdziale dotyczącym </w:t>
            </w:r>
            <w:r w:rsidR="009028A3">
              <w:rPr>
                <w:sz w:val="22"/>
                <w:szCs w:val="22"/>
                <w:lang w:eastAsia="en-US"/>
              </w:rPr>
              <w:t xml:space="preserve"> </w:t>
            </w:r>
            <w:r w:rsidRPr="00957B06">
              <w:rPr>
                <w:sz w:val="22"/>
                <w:szCs w:val="22"/>
                <w:lang w:eastAsia="en-US"/>
              </w:rPr>
              <w:t>certyfikacji dostępności, których celem będzie doprecyzowanie zapisów, zwiększenie przejrzystości</w:t>
            </w:r>
            <w:r w:rsidR="00A34CBC" w:rsidRPr="00957B06">
              <w:rPr>
                <w:sz w:val="22"/>
                <w:szCs w:val="22"/>
                <w:lang w:eastAsia="en-US"/>
              </w:rPr>
              <w:t xml:space="preserve">, </w:t>
            </w:r>
            <w:r w:rsidR="0036057B" w:rsidRPr="00957B06">
              <w:rPr>
                <w:sz w:val="22"/>
                <w:szCs w:val="22"/>
                <w:lang w:eastAsia="en-US"/>
              </w:rPr>
              <w:t xml:space="preserve">wprowadzenie </w:t>
            </w:r>
            <w:r w:rsidR="009028A3">
              <w:rPr>
                <w:sz w:val="22"/>
                <w:szCs w:val="22"/>
                <w:lang w:eastAsia="en-US"/>
              </w:rPr>
              <w:t>mo</w:t>
            </w:r>
            <w:r w:rsidR="00165ADC">
              <w:rPr>
                <w:sz w:val="22"/>
                <w:szCs w:val="22"/>
                <w:lang w:eastAsia="en-US"/>
              </w:rPr>
              <w:t>ż</w:t>
            </w:r>
            <w:r w:rsidR="009028A3">
              <w:rPr>
                <w:sz w:val="22"/>
                <w:szCs w:val="22"/>
                <w:lang w:eastAsia="en-US"/>
              </w:rPr>
              <w:t>liwości/obowiązku prowadzenia</w:t>
            </w:r>
            <w:r w:rsidR="0036057B" w:rsidRPr="00957B06">
              <w:rPr>
                <w:sz w:val="22"/>
                <w:szCs w:val="22"/>
                <w:lang w:eastAsia="en-US"/>
              </w:rPr>
              <w:t xml:space="preserve"> kontroli </w:t>
            </w:r>
            <w:r w:rsidR="00A34CBC" w:rsidRPr="00957B06">
              <w:rPr>
                <w:sz w:val="22"/>
                <w:szCs w:val="22"/>
                <w:lang w:eastAsia="en-US"/>
              </w:rPr>
              <w:t>podmiotów</w:t>
            </w:r>
            <w:r w:rsidR="0036057B" w:rsidRPr="00957B06">
              <w:rPr>
                <w:sz w:val="22"/>
                <w:szCs w:val="22"/>
                <w:lang w:eastAsia="en-US"/>
              </w:rPr>
              <w:t xml:space="preserve">, które otrzymały certyfikat, w tym </w:t>
            </w:r>
            <w:r w:rsidR="009028A3">
              <w:rPr>
                <w:sz w:val="22"/>
                <w:szCs w:val="22"/>
                <w:lang w:eastAsia="en-US"/>
              </w:rPr>
              <w:t xml:space="preserve">wzmocnienie </w:t>
            </w:r>
            <w:r w:rsidR="0036057B" w:rsidRPr="00957B06">
              <w:rPr>
                <w:sz w:val="22"/>
                <w:szCs w:val="22"/>
                <w:lang w:eastAsia="en-US"/>
              </w:rPr>
              <w:t>kompetencji kontrolnych ministra do spraw rozwoju regionalnego</w:t>
            </w:r>
            <w:r w:rsidR="00A34CBC" w:rsidRPr="00957B06">
              <w:rPr>
                <w:sz w:val="22"/>
                <w:szCs w:val="22"/>
                <w:lang w:eastAsia="en-US"/>
              </w:rPr>
              <w:t>,</w:t>
            </w:r>
          </w:p>
          <w:p w14:paraId="2484E94D" w14:textId="3DADD377" w:rsidR="00A34CBC" w:rsidRPr="009028A3" w:rsidRDefault="00183570" w:rsidP="009028A3">
            <w:pPr>
              <w:pStyle w:val="NormalnyWeb"/>
              <w:numPr>
                <w:ilvl w:val="0"/>
                <w:numId w:val="32"/>
              </w:numPr>
              <w:spacing w:before="120" w:beforeAutospacing="0" w:after="120" w:afterAutospacing="0" w:line="276" w:lineRule="auto"/>
              <w:rPr>
                <w:sz w:val="22"/>
                <w:szCs w:val="22"/>
                <w:lang w:eastAsia="en-US"/>
              </w:rPr>
            </w:pPr>
            <w:r w:rsidRPr="00957B06">
              <w:rPr>
                <w:sz w:val="22"/>
                <w:szCs w:val="22"/>
                <w:lang w:eastAsia="en-US"/>
              </w:rPr>
              <w:t>umożliwienie przedstawicielom instytucji</w:t>
            </w:r>
            <w:r w:rsidR="00A34CBC" w:rsidRPr="00957B06">
              <w:rPr>
                <w:sz w:val="22"/>
                <w:szCs w:val="22"/>
                <w:lang w:eastAsia="en-US"/>
              </w:rPr>
              <w:t xml:space="preserve"> i organizacji 3</w:t>
            </w:r>
            <w:r w:rsidR="009028A3">
              <w:rPr>
                <w:sz w:val="22"/>
                <w:szCs w:val="22"/>
                <w:lang w:eastAsia="en-US"/>
              </w:rPr>
              <w:t>-</w:t>
            </w:r>
            <w:r w:rsidR="00A34CBC" w:rsidRPr="00957B06">
              <w:rPr>
                <w:sz w:val="22"/>
                <w:szCs w:val="22"/>
                <w:lang w:eastAsia="en-US"/>
              </w:rPr>
              <w:t>go sektora</w:t>
            </w:r>
            <w:r w:rsidRPr="00957B06">
              <w:rPr>
                <w:sz w:val="22"/>
                <w:szCs w:val="22"/>
                <w:lang w:eastAsia="en-US"/>
              </w:rPr>
              <w:t xml:space="preserve"> </w:t>
            </w:r>
            <w:r w:rsidR="009028A3">
              <w:rPr>
                <w:sz w:val="22"/>
                <w:szCs w:val="22"/>
                <w:lang w:eastAsia="en-US"/>
              </w:rPr>
              <w:t>składania zawiadomienia</w:t>
            </w:r>
            <w:r w:rsidR="004C3187" w:rsidRPr="00957B06">
              <w:rPr>
                <w:sz w:val="22"/>
                <w:szCs w:val="22"/>
                <w:lang w:eastAsia="en-US"/>
              </w:rPr>
              <w:t xml:space="preserve"> do Prezesa PFRON</w:t>
            </w:r>
            <w:r w:rsidR="00A34CBC" w:rsidRPr="00957B06">
              <w:rPr>
                <w:sz w:val="22"/>
                <w:szCs w:val="22"/>
                <w:lang w:eastAsia="en-US"/>
              </w:rPr>
              <w:t xml:space="preserve"> na brak </w:t>
            </w:r>
            <w:r w:rsidR="009028A3" w:rsidRPr="00957B06">
              <w:rPr>
                <w:sz w:val="22"/>
                <w:szCs w:val="22"/>
                <w:lang w:eastAsia="en-US"/>
              </w:rPr>
              <w:t>dostępności</w:t>
            </w:r>
            <w:r w:rsidR="00A34CBC" w:rsidRPr="00957B06">
              <w:rPr>
                <w:sz w:val="22"/>
                <w:szCs w:val="22"/>
                <w:lang w:eastAsia="en-US"/>
              </w:rPr>
              <w:t xml:space="preserve"> podmiotu publicznego</w:t>
            </w:r>
            <w:r w:rsidRPr="00957B06">
              <w:rPr>
                <w:sz w:val="22"/>
                <w:szCs w:val="22"/>
                <w:lang w:eastAsia="en-US"/>
              </w:rPr>
              <w:t xml:space="preserve">. </w:t>
            </w:r>
            <w:r w:rsidR="00A617DB" w:rsidRPr="009028A3">
              <w:rPr>
                <w:sz w:val="22"/>
                <w:szCs w:val="22"/>
                <w:lang w:eastAsia="en-US"/>
              </w:rPr>
              <w:t xml:space="preserve">Analogiczne mechanizmy funkcjonują już na gruncie ustawy o zapewnianiu spełniania wymagań dostępności niektórych produktów i usług przez podmioty gospodarcze, która wprowadza nowe obowiązki dla przedsiębiorców oraz przyznaje konsumentom uprawnienie do zgłaszania zawiadomień o braku dostępności produktów lub usług. </w:t>
            </w:r>
          </w:p>
          <w:p w14:paraId="0FC56E51" w14:textId="300F6895" w:rsidR="00957B06" w:rsidRDefault="00A34CBC" w:rsidP="00F26A24">
            <w:pPr>
              <w:pStyle w:val="NormalnyWeb"/>
              <w:spacing w:before="120" w:after="120" w:line="276" w:lineRule="auto"/>
              <w:rPr>
                <w:sz w:val="22"/>
                <w:szCs w:val="22"/>
                <w:lang w:eastAsia="en-US"/>
              </w:rPr>
            </w:pPr>
            <w:r w:rsidRPr="00957B06">
              <w:rPr>
                <w:sz w:val="22"/>
                <w:szCs w:val="22"/>
                <w:lang w:eastAsia="en-US"/>
              </w:rPr>
              <w:t xml:space="preserve">W kontekście </w:t>
            </w:r>
            <w:r w:rsidR="00F26A24" w:rsidRPr="00957B06">
              <w:rPr>
                <w:sz w:val="22"/>
                <w:szCs w:val="22"/>
                <w:lang w:eastAsia="en-US"/>
              </w:rPr>
              <w:t>a</w:t>
            </w:r>
            <w:r w:rsidRPr="00957B06">
              <w:rPr>
                <w:sz w:val="22"/>
                <w:szCs w:val="22"/>
                <w:lang w:eastAsia="en-US"/>
              </w:rPr>
              <w:t>nalizowania skutków obowiązujących przepisów warto zwrócić także uwagę</w:t>
            </w:r>
            <w:r w:rsidR="009028A3">
              <w:rPr>
                <w:sz w:val="22"/>
                <w:szCs w:val="22"/>
                <w:lang w:eastAsia="en-US"/>
              </w:rPr>
              <w:t xml:space="preserve">, że jednym </w:t>
            </w:r>
            <w:r w:rsidR="00F26A24" w:rsidRPr="00957B06">
              <w:rPr>
                <w:sz w:val="22"/>
                <w:szCs w:val="22"/>
                <w:lang w:eastAsia="en-US"/>
              </w:rPr>
              <w:t>z czynników sprzyjających utrzymywaniu się barier dostępności jest dominacja projektowego modelu realizacji działań z zakresu dostępności. Pozwala on z jednej strony wypracować i przetestować nowe rozwiązania, z drugiej jednak często nie prowadzi do ich trwałego, czy systemowego włączenia do praktyki działania i funkcjonowania instytucji publicznych. W rezultacie, część wypracowanych rozwiązań funkcjonuje w ograniczonym zakresie lub wygasa wraz z zakończeniem finansowania</w:t>
            </w:r>
            <w:r w:rsidR="00957B06">
              <w:rPr>
                <w:sz w:val="22"/>
                <w:szCs w:val="22"/>
                <w:lang w:eastAsia="en-US"/>
              </w:rPr>
              <w:t xml:space="preserve"> projektowego (z reguły 1-3 lata)</w:t>
            </w:r>
            <w:r w:rsidR="00F26A24" w:rsidRPr="00957B06">
              <w:rPr>
                <w:sz w:val="22"/>
                <w:szCs w:val="22"/>
                <w:lang w:eastAsia="en-US"/>
              </w:rPr>
              <w:t>. Oznacza to, że dostępność bywa traktowana jako element czasowej</w:t>
            </w:r>
            <w:r w:rsidR="00957B06">
              <w:rPr>
                <w:sz w:val="22"/>
                <w:szCs w:val="22"/>
                <w:lang w:eastAsia="en-US"/>
              </w:rPr>
              <w:t>, wybiórczej</w:t>
            </w:r>
            <w:r w:rsidR="00F26A24" w:rsidRPr="00957B06">
              <w:rPr>
                <w:sz w:val="22"/>
                <w:szCs w:val="22"/>
                <w:lang w:eastAsia="en-US"/>
              </w:rPr>
              <w:t xml:space="preserve"> interwencji, a nie jako trwały element </w:t>
            </w:r>
            <w:r w:rsidR="00957B06">
              <w:rPr>
                <w:sz w:val="22"/>
                <w:szCs w:val="22"/>
                <w:lang w:eastAsia="en-US"/>
              </w:rPr>
              <w:t xml:space="preserve">jakości </w:t>
            </w:r>
            <w:r w:rsidR="00F26A24" w:rsidRPr="00957B06">
              <w:rPr>
                <w:sz w:val="22"/>
                <w:szCs w:val="22"/>
                <w:lang w:eastAsia="en-US"/>
              </w:rPr>
              <w:t xml:space="preserve">funkcjonowania instytucji publicznych. </w:t>
            </w:r>
          </w:p>
          <w:p w14:paraId="62D83313" w14:textId="45BB3837" w:rsidR="00F26A24" w:rsidRPr="00957B06" w:rsidRDefault="00F26A24" w:rsidP="00F26A24">
            <w:pPr>
              <w:pStyle w:val="NormalnyWeb"/>
              <w:spacing w:before="120" w:after="120" w:line="276" w:lineRule="auto"/>
              <w:rPr>
                <w:sz w:val="22"/>
                <w:szCs w:val="22"/>
                <w:lang w:eastAsia="en-US"/>
              </w:rPr>
            </w:pPr>
            <w:r w:rsidRPr="00957B06">
              <w:rPr>
                <w:sz w:val="22"/>
                <w:szCs w:val="22"/>
                <w:lang w:eastAsia="en-US"/>
              </w:rPr>
              <w:lastRenderedPageBreak/>
              <w:t xml:space="preserve">Dodatkowym uwarunkowaniem jest rozproszenie i niespójność stosowanych standardów dostępności. W obrębie tych samych branż, sektorów czy polityk publicznych rozwijane są równolegle różne modele, wytyczne i standardy. Powstają one w ramach odrębnych inicjatyw programowych lub projektowych, niekiedy będąc warunkiem uzyskania dofinansowania </w:t>
            </w:r>
            <w:r w:rsidR="00957B06">
              <w:rPr>
                <w:sz w:val="22"/>
                <w:szCs w:val="22"/>
                <w:lang w:eastAsia="en-US"/>
              </w:rPr>
              <w:t xml:space="preserve">(projektu) </w:t>
            </w:r>
            <w:r w:rsidRPr="00957B06">
              <w:rPr>
                <w:sz w:val="22"/>
                <w:szCs w:val="22"/>
                <w:lang w:eastAsia="en-US"/>
              </w:rPr>
              <w:t>na określone rozwiązania. Choć są dostosowane do specyfiki danego obszaru, ich rozproszenie i brak wspólnych ram utrudniają budowę spójnego i przewidywalnego</w:t>
            </w:r>
            <w:r w:rsidR="00165ADC">
              <w:rPr>
                <w:sz w:val="22"/>
                <w:szCs w:val="22"/>
                <w:lang w:eastAsia="en-US"/>
              </w:rPr>
              <w:t>,</w:t>
            </w:r>
            <w:r w:rsidRPr="00957B06">
              <w:rPr>
                <w:sz w:val="22"/>
                <w:szCs w:val="22"/>
                <w:lang w:eastAsia="en-US"/>
              </w:rPr>
              <w:t xml:space="preserve"> z p</w:t>
            </w:r>
            <w:r w:rsidR="00165ADC">
              <w:rPr>
                <w:sz w:val="22"/>
                <w:szCs w:val="22"/>
                <w:lang w:eastAsia="en-US"/>
              </w:rPr>
              <w:t>un</w:t>
            </w:r>
            <w:r w:rsidRPr="00957B06">
              <w:rPr>
                <w:sz w:val="22"/>
                <w:szCs w:val="22"/>
                <w:lang w:eastAsia="en-US"/>
              </w:rPr>
              <w:t>kt</w:t>
            </w:r>
            <w:r w:rsidR="00165ADC">
              <w:rPr>
                <w:sz w:val="22"/>
                <w:szCs w:val="22"/>
                <w:lang w:eastAsia="en-US"/>
              </w:rPr>
              <w:t>u</w:t>
            </w:r>
            <w:r w:rsidRPr="00957B06">
              <w:rPr>
                <w:sz w:val="22"/>
                <w:szCs w:val="22"/>
                <w:lang w:eastAsia="en-US"/>
              </w:rPr>
              <w:t xml:space="preserve"> widzenia użytkowników</w:t>
            </w:r>
            <w:r w:rsidR="00165ADC">
              <w:rPr>
                <w:sz w:val="22"/>
                <w:szCs w:val="22"/>
                <w:lang w:eastAsia="en-US"/>
              </w:rPr>
              <w:t>,</w:t>
            </w:r>
            <w:r w:rsidRPr="00957B06">
              <w:rPr>
                <w:sz w:val="22"/>
                <w:szCs w:val="22"/>
                <w:lang w:eastAsia="en-US"/>
              </w:rPr>
              <w:t xml:space="preserve"> systemu dostępności w skali całego kraju. Odrębnym, lecz równie istotnym uwarunkowaniem systemowym jest sposób, w jaki dostępność jest postrzegana i wartościowana w praktyce instytucjonalnej oraz </w:t>
            </w:r>
            <w:r w:rsidR="00957B06">
              <w:rPr>
                <w:sz w:val="22"/>
                <w:szCs w:val="22"/>
                <w:lang w:eastAsia="en-US"/>
              </w:rPr>
              <w:t xml:space="preserve">w </w:t>
            </w:r>
            <w:r w:rsidRPr="00957B06">
              <w:rPr>
                <w:sz w:val="22"/>
                <w:szCs w:val="22"/>
                <w:lang w:eastAsia="en-US"/>
              </w:rPr>
              <w:t xml:space="preserve">debacie publicznej. Mimo rosnącej obecności tego zagadnienia w przestrzeni publicznej, dostępność nadal bywa utożsamiana z rozwiązaniami adresowanymi wyłącznie do wybranych grup, w szczególności osób z niepełnosprawnościami. Nie jest postrzegana jako uniwersalny standard jakości usług, produktów czy przestrzeni. Takie podejście sprowadza dostępność do wymogu formalnego, zamiast traktować ją jako wyznacznik jakości i odpowiedzialności </w:t>
            </w:r>
            <w:r w:rsidR="00957B06">
              <w:rPr>
                <w:sz w:val="22"/>
                <w:szCs w:val="22"/>
                <w:lang w:eastAsia="en-US"/>
              </w:rPr>
              <w:t>za jakość życia kolejnych pokoleń</w:t>
            </w:r>
            <w:r w:rsidRPr="00957B06">
              <w:rPr>
                <w:sz w:val="22"/>
                <w:szCs w:val="22"/>
                <w:lang w:eastAsia="en-US"/>
              </w:rPr>
              <w:t xml:space="preserve">. Powoduje </w:t>
            </w:r>
            <w:r w:rsidR="00957B06">
              <w:rPr>
                <w:sz w:val="22"/>
                <w:szCs w:val="22"/>
                <w:lang w:eastAsia="en-US"/>
              </w:rPr>
              <w:t xml:space="preserve">to </w:t>
            </w:r>
            <w:r w:rsidRPr="00957B06">
              <w:rPr>
                <w:sz w:val="22"/>
                <w:szCs w:val="22"/>
                <w:lang w:eastAsia="en-US"/>
              </w:rPr>
              <w:t>oczekiwanie korzystania z</w:t>
            </w:r>
            <w:r w:rsidR="00957B06">
              <w:rPr>
                <w:sz w:val="22"/>
                <w:szCs w:val="22"/>
                <w:lang w:eastAsia="en-US"/>
              </w:rPr>
              <w:t xml:space="preserve"> jej rozwiązań</w:t>
            </w:r>
            <w:r w:rsidRPr="00957B06">
              <w:rPr>
                <w:sz w:val="22"/>
                <w:szCs w:val="22"/>
                <w:lang w:eastAsia="en-US"/>
              </w:rPr>
              <w:t xml:space="preserve"> wyłącznie lub przede wszystkim przez osoby ze szczególnymi potrzebami, a przy ich nieobecności – wywołuje poczucie niewykorzy</w:t>
            </w:r>
            <w:r w:rsidR="003C5E8F" w:rsidRPr="00957B06">
              <w:rPr>
                <w:sz w:val="22"/>
                <w:szCs w:val="22"/>
                <w:lang w:eastAsia="en-US"/>
              </w:rPr>
              <w:t>s</w:t>
            </w:r>
            <w:r w:rsidRPr="00957B06">
              <w:rPr>
                <w:sz w:val="22"/>
                <w:szCs w:val="22"/>
                <w:lang w:eastAsia="en-US"/>
              </w:rPr>
              <w:t xml:space="preserve">tanego potencjału </w:t>
            </w:r>
            <w:r w:rsidR="00957B06">
              <w:rPr>
                <w:sz w:val="22"/>
                <w:szCs w:val="22"/>
                <w:lang w:eastAsia="en-US"/>
              </w:rPr>
              <w:t xml:space="preserve">realizowanych </w:t>
            </w:r>
            <w:r w:rsidRPr="00957B06">
              <w:rPr>
                <w:sz w:val="22"/>
                <w:szCs w:val="22"/>
                <w:lang w:eastAsia="en-US"/>
              </w:rPr>
              <w:t>inwestycji. W efekcie</w:t>
            </w:r>
            <w:r w:rsidR="00957B06">
              <w:rPr>
                <w:sz w:val="22"/>
                <w:szCs w:val="22"/>
                <w:lang w:eastAsia="en-US"/>
              </w:rPr>
              <w:t>,</w:t>
            </w:r>
            <w:r w:rsidRPr="00957B06">
              <w:rPr>
                <w:sz w:val="22"/>
                <w:szCs w:val="22"/>
                <w:lang w:eastAsia="en-US"/>
              </w:rPr>
              <w:t xml:space="preserve"> dostępność nie utrwala się jako standard </w:t>
            </w:r>
            <w:r w:rsidR="00957B06">
              <w:rPr>
                <w:sz w:val="22"/>
                <w:szCs w:val="22"/>
                <w:lang w:eastAsia="en-US"/>
              </w:rPr>
              <w:t xml:space="preserve">jakości </w:t>
            </w:r>
            <w:r w:rsidRPr="00957B06">
              <w:rPr>
                <w:sz w:val="22"/>
                <w:szCs w:val="22"/>
                <w:lang w:eastAsia="en-US"/>
              </w:rPr>
              <w:t>usług i infrastruktury publicznej, pozostając elementem dodatkowym, dedykowanym określonym użytkownikom. Opisane ograniczenia wskazują, że problem ten nie ma wyłącznie charakteru sektorowego, lecz dotyczy sposobu organizacji i funkcjonowania polityk publicznych jako całości.</w:t>
            </w:r>
          </w:p>
          <w:p w14:paraId="4966110A" w14:textId="52A527D3" w:rsidR="003C5E8F" w:rsidRPr="00467BD3" w:rsidRDefault="00F26A24" w:rsidP="007F4800">
            <w:pPr>
              <w:spacing w:after="120" w:line="276" w:lineRule="auto"/>
              <w:rPr>
                <w:lang w:eastAsia="pl-PL"/>
              </w:rPr>
            </w:pPr>
            <w:r w:rsidRPr="00467BD3">
              <w:t xml:space="preserve">Dlatego w opinii </w:t>
            </w:r>
            <w:proofErr w:type="spellStart"/>
            <w:r w:rsidRPr="00467BD3">
              <w:t>MFiPR</w:t>
            </w:r>
            <w:proofErr w:type="spellEnd"/>
            <w:r w:rsidRPr="00467BD3">
              <w:t xml:space="preserve"> konieczne są nie tylko zmiany (nowelizacja) samej ustawy o zapewnianiu dost</w:t>
            </w:r>
            <w:r w:rsidR="007F4800" w:rsidRPr="00467BD3">
              <w:t>ę</w:t>
            </w:r>
            <w:r w:rsidRPr="00467BD3">
              <w:t xml:space="preserve">pności ale również </w:t>
            </w:r>
            <w:r w:rsidR="00467BD3">
              <w:t>przygotowanie i uruchomienie kolejnego</w:t>
            </w:r>
            <w:r w:rsidRPr="00467BD3">
              <w:t xml:space="preserve"> programu rządowego, który pozwoli na utrzymanie wysokiego priorytetu dla tych kwestii w całym sektorze publi</w:t>
            </w:r>
            <w:r w:rsidR="007F4800" w:rsidRPr="00467BD3">
              <w:t>c</w:t>
            </w:r>
            <w:r w:rsidRPr="00467BD3">
              <w:t xml:space="preserve">znym. Nowy program rządowy dla dostępności jest obecnie opracowywany. </w:t>
            </w:r>
            <w:r w:rsidR="00467BD3">
              <w:t>Zakłada się, że j</w:t>
            </w:r>
            <w:r w:rsidRPr="00467BD3">
              <w:t>ego celem</w:t>
            </w:r>
            <w:r w:rsidR="00DC298E" w:rsidRPr="00467BD3">
              <w:rPr>
                <w:lang w:eastAsia="pl-PL"/>
              </w:rPr>
              <w:t xml:space="preserve"> będzie kontynuacja reform </w:t>
            </w:r>
            <w:r w:rsidRPr="00467BD3">
              <w:t>rozpoc</w:t>
            </w:r>
            <w:r w:rsidR="00DC298E" w:rsidRPr="00467BD3">
              <w:rPr>
                <w:lang w:eastAsia="pl-PL"/>
              </w:rPr>
              <w:t xml:space="preserve">zętych w pierwszym programie rządowym </w:t>
            </w:r>
            <w:r w:rsidRPr="00467BD3">
              <w:t>z 2018 r.</w:t>
            </w:r>
            <w:r w:rsidR="00DC298E" w:rsidRPr="00467BD3">
              <w:rPr>
                <w:lang w:eastAsia="pl-PL"/>
              </w:rPr>
              <w:t xml:space="preserve"> oraz ich skalowanie i rozwój</w:t>
            </w:r>
            <w:r w:rsidRPr="00467BD3">
              <w:t>,</w:t>
            </w:r>
            <w:r w:rsidR="00DC298E" w:rsidRPr="00467BD3">
              <w:rPr>
                <w:lang w:eastAsia="pl-PL"/>
              </w:rPr>
              <w:t xml:space="preserve"> zapewniające efekt powszechnego stosowania zasad zapewnienia dostępności w wielu dziedzina</w:t>
            </w:r>
            <w:r w:rsidR="005573DF" w:rsidRPr="00467BD3">
              <w:t>ch</w:t>
            </w:r>
            <w:r w:rsidR="00DC298E" w:rsidRPr="00467BD3">
              <w:rPr>
                <w:lang w:eastAsia="pl-PL"/>
              </w:rPr>
              <w:t xml:space="preserve"> działania państwa. </w:t>
            </w:r>
            <w:r w:rsidR="005573DF" w:rsidRPr="00467BD3">
              <w:rPr>
                <w:lang w:eastAsia="pl-PL"/>
              </w:rPr>
              <w:t xml:space="preserve">W </w:t>
            </w:r>
            <w:r w:rsidR="00DC298E" w:rsidRPr="00467BD3">
              <w:rPr>
                <w:lang w:eastAsia="pl-PL"/>
              </w:rPr>
              <w:t>kolejnych latach Program</w:t>
            </w:r>
            <w:r w:rsidR="005573DF" w:rsidRPr="00467BD3">
              <w:rPr>
                <w:lang w:eastAsia="pl-PL"/>
              </w:rPr>
              <w:t xml:space="preserve"> będzie</w:t>
            </w:r>
            <w:r w:rsidR="00DC298E" w:rsidRPr="00467BD3">
              <w:rPr>
                <w:lang w:eastAsia="pl-PL"/>
              </w:rPr>
              <w:t xml:space="preserve"> kierunkował dalszą poprawę legislacji, utrwalał  mechanizmy zapewniania dostępności w realizowanych wydatkach publicznych</w:t>
            </w:r>
            <w:r w:rsidR="005573DF" w:rsidRPr="00467BD3">
              <w:rPr>
                <w:lang w:eastAsia="pl-PL"/>
              </w:rPr>
              <w:t>.</w:t>
            </w:r>
            <w:r w:rsidR="007F4800" w:rsidRPr="00467BD3">
              <w:rPr>
                <w:lang w:eastAsia="pl-PL"/>
              </w:rPr>
              <w:t xml:space="preserve"> Kluczowym celem programu będzie zbudowanie dostępności jako horyzontalnej zasady realizacji polityk publicznych. </w:t>
            </w:r>
            <w:r w:rsidR="003C5E8F" w:rsidRPr="00467BD3">
              <w:rPr>
                <w:lang w:eastAsia="pl-PL"/>
              </w:rPr>
              <w:t>D</w:t>
            </w:r>
            <w:r w:rsidR="007F4800" w:rsidRPr="00467BD3">
              <w:rPr>
                <w:lang w:eastAsia="pl-PL"/>
              </w:rPr>
              <w:t>otychczas</w:t>
            </w:r>
            <w:r w:rsidR="003C5E8F" w:rsidRPr="00467BD3">
              <w:rPr>
                <w:lang w:eastAsia="pl-PL"/>
              </w:rPr>
              <w:t xml:space="preserve"> realizowane wsparcie dla dostępności miało charakter punktowy</w:t>
            </w:r>
            <w:r w:rsidR="00165ADC">
              <w:rPr>
                <w:lang w:eastAsia="pl-PL"/>
              </w:rPr>
              <w:t>,</w:t>
            </w:r>
            <w:r w:rsidR="003C5E8F" w:rsidRPr="00467BD3">
              <w:rPr>
                <w:lang w:eastAsia="pl-PL"/>
              </w:rPr>
              <w:t xml:space="preserve"> stąd s</w:t>
            </w:r>
            <w:r w:rsidR="007F4800" w:rsidRPr="00467BD3">
              <w:rPr>
                <w:lang w:eastAsia="pl-PL"/>
              </w:rPr>
              <w:t>kala oddziaływania projektów pozosta</w:t>
            </w:r>
            <w:r w:rsidR="003C5E8F" w:rsidRPr="00467BD3">
              <w:rPr>
                <w:lang w:eastAsia="pl-PL"/>
              </w:rPr>
              <w:t>wała</w:t>
            </w:r>
            <w:r w:rsidR="007F4800" w:rsidRPr="00467BD3">
              <w:rPr>
                <w:lang w:eastAsia="pl-PL"/>
              </w:rPr>
              <w:t xml:space="preserve"> ograniczona i nie w pełni wykorzystana. </w:t>
            </w:r>
            <w:r w:rsidR="003C5E8F" w:rsidRPr="00467BD3">
              <w:rPr>
                <w:lang w:eastAsia="pl-PL"/>
              </w:rPr>
              <w:t xml:space="preserve">Dlatego w nowej odsłonie, zakorzenianie </w:t>
            </w:r>
            <w:r w:rsidR="00467BD3" w:rsidRPr="00467BD3">
              <w:rPr>
                <w:lang w:eastAsia="pl-PL"/>
              </w:rPr>
              <w:t>dostępności</w:t>
            </w:r>
            <w:r w:rsidR="003C5E8F" w:rsidRPr="00467BD3">
              <w:rPr>
                <w:lang w:eastAsia="pl-PL"/>
              </w:rPr>
              <w:t xml:space="preserve"> w politykach publicznych będzie następowało poprzez:</w:t>
            </w:r>
            <w:bookmarkStart w:id="2" w:name="_Hlk223003973"/>
          </w:p>
          <w:p w14:paraId="7F5C60DC" w14:textId="0E1189A6" w:rsidR="007F4800" w:rsidRPr="00467BD3" w:rsidRDefault="006E457A" w:rsidP="003C5E8F">
            <w:pPr>
              <w:pStyle w:val="Akapitzlist"/>
              <w:numPr>
                <w:ilvl w:val="0"/>
                <w:numId w:val="38"/>
              </w:numPr>
              <w:spacing w:after="120" w:line="276" w:lineRule="auto"/>
              <w:rPr>
                <w:lang w:eastAsia="pl-PL"/>
              </w:rPr>
            </w:pPr>
            <w:r w:rsidRPr="00467BD3">
              <w:rPr>
                <w:lang w:eastAsia="pl-PL"/>
              </w:rPr>
              <w:t>Zdefiniowanie d</w:t>
            </w:r>
            <w:r w:rsidR="003C5E8F" w:rsidRPr="00467BD3">
              <w:rPr>
                <w:lang w:eastAsia="pl-PL"/>
              </w:rPr>
              <w:t>ostępnoś</w:t>
            </w:r>
            <w:r w:rsidRPr="00467BD3">
              <w:rPr>
                <w:lang w:eastAsia="pl-PL"/>
              </w:rPr>
              <w:t>ci</w:t>
            </w:r>
            <w:r w:rsidR="003C5E8F" w:rsidRPr="00467BD3">
              <w:rPr>
                <w:lang w:eastAsia="pl-PL"/>
              </w:rPr>
              <w:t xml:space="preserve"> jako reguł</w:t>
            </w:r>
            <w:r w:rsidRPr="00467BD3">
              <w:rPr>
                <w:lang w:eastAsia="pl-PL"/>
              </w:rPr>
              <w:t>y</w:t>
            </w:r>
            <w:r w:rsidR="003C5E8F" w:rsidRPr="00467BD3">
              <w:rPr>
                <w:lang w:eastAsia="pl-PL"/>
              </w:rPr>
              <w:t xml:space="preserve"> wydatkowania środków publicznych</w:t>
            </w:r>
            <w:bookmarkEnd w:id="2"/>
            <w:r w:rsidRPr="00467BD3">
              <w:rPr>
                <w:lang w:eastAsia="pl-PL"/>
              </w:rPr>
              <w:t xml:space="preserve"> - </w:t>
            </w:r>
            <w:r w:rsidR="00467BD3">
              <w:rPr>
                <w:lang w:eastAsia="pl-PL"/>
              </w:rPr>
              <w:t xml:space="preserve"> nie tylko ze środków budżetowych ale także w ramach wybranych funduszy celowych czy programów rozwojowych poszczególnych ministrów; </w:t>
            </w:r>
          </w:p>
          <w:p w14:paraId="28CAE84E" w14:textId="43EA4650" w:rsidR="006E457A" w:rsidRPr="00467BD3" w:rsidRDefault="006E457A" w:rsidP="006E457A">
            <w:pPr>
              <w:pStyle w:val="Akapitzlist"/>
              <w:numPr>
                <w:ilvl w:val="0"/>
                <w:numId w:val="38"/>
              </w:numPr>
              <w:spacing w:after="120" w:line="276" w:lineRule="auto"/>
              <w:rPr>
                <w:lang w:eastAsia="pl-PL"/>
              </w:rPr>
            </w:pPr>
            <w:bookmarkStart w:id="3" w:name="_Hlk223007035"/>
            <w:r w:rsidRPr="00467BD3">
              <w:rPr>
                <w:lang w:eastAsia="pl-PL"/>
              </w:rPr>
              <w:t>Uniwersalne projektowanie w politykach publicznych</w:t>
            </w:r>
            <w:bookmarkEnd w:id="3"/>
            <w:r w:rsidRPr="00467BD3">
              <w:rPr>
                <w:lang w:eastAsia="pl-PL"/>
              </w:rPr>
              <w:t xml:space="preserve"> </w:t>
            </w:r>
            <w:r w:rsidR="00467BD3">
              <w:rPr>
                <w:lang w:eastAsia="pl-PL"/>
              </w:rPr>
              <w:t>–</w:t>
            </w:r>
            <w:r w:rsidRPr="00467BD3">
              <w:rPr>
                <w:lang w:eastAsia="pl-PL"/>
              </w:rPr>
              <w:t xml:space="preserve"> przegląd</w:t>
            </w:r>
            <w:r w:rsidR="00467BD3">
              <w:rPr>
                <w:lang w:eastAsia="pl-PL"/>
              </w:rPr>
              <w:t>, doprecyzowanie</w:t>
            </w:r>
            <w:r w:rsidRPr="00467BD3">
              <w:rPr>
                <w:lang w:eastAsia="pl-PL"/>
              </w:rPr>
              <w:t xml:space="preserve"> i ujednolicanie</w:t>
            </w:r>
            <w:r w:rsidR="00467BD3">
              <w:rPr>
                <w:lang w:eastAsia="pl-PL"/>
              </w:rPr>
              <w:t xml:space="preserve"> </w:t>
            </w:r>
            <w:r w:rsidRPr="00467BD3">
              <w:rPr>
                <w:lang w:eastAsia="pl-PL"/>
              </w:rPr>
              <w:t xml:space="preserve"> przepisów prawa </w:t>
            </w:r>
            <w:r w:rsidR="00467BD3">
              <w:rPr>
                <w:lang w:eastAsia="pl-PL"/>
              </w:rPr>
              <w:t xml:space="preserve"> </w:t>
            </w:r>
            <w:r w:rsidRPr="00467BD3">
              <w:rPr>
                <w:lang w:eastAsia="pl-PL"/>
              </w:rPr>
              <w:t xml:space="preserve"> standardów dostępności</w:t>
            </w:r>
            <w:bookmarkStart w:id="4" w:name="_Hlk223007067"/>
            <w:r w:rsidR="00467BD3">
              <w:rPr>
                <w:lang w:eastAsia="pl-PL"/>
              </w:rPr>
              <w:t>;</w:t>
            </w:r>
          </w:p>
          <w:p w14:paraId="088B3F89" w14:textId="7E9F29AA" w:rsidR="006E457A" w:rsidRPr="00467BD3" w:rsidRDefault="006E457A" w:rsidP="006E457A">
            <w:pPr>
              <w:pStyle w:val="Akapitzlist"/>
              <w:numPr>
                <w:ilvl w:val="0"/>
                <w:numId w:val="38"/>
              </w:numPr>
              <w:spacing w:after="120" w:line="276" w:lineRule="auto"/>
              <w:rPr>
                <w:lang w:eastAsia="pl-PL"/>
              </w:rPr>
            </w:pPr>
            <w:r w:rsidRPr="00467BD3">
              <w:rPr>
                <w:lang w:eastAsia="pl-PL"/>
              </w:rPr>
              <w:t>Zwiększanie wiedzy, świadomości i kompetencji w zakresie dostępności</w:t>
            </w:r>
            <w:bookmarkEnd w:id="4"/>
            <w:r w:rsidRPr="00467BD3">
              <w:rPr>
                <w:lang w:eastAsia="pl-PL"/>
              </w:rPr>
              <w:t xml:space="preserve"> - kampanie informacyjne i społeczne o szerokim zasięgu, wymiana doświadczeń</w:t>
            </w:r>
            <w:r w:rsidR="00467BD3">
              <w:rPr>
                <w:lang w:eastAsia="pl-PL"/>
              </w:rPr>
              <w:t>, edukacja na różnych poziomach.</w:t>
            </w:r>
            <w:r w:rsidRPr="00467BD3">
              <w:rPr>
                <w:lang w:eastAsia="pl-PL"/>
              </w:rPr>
              <w:t xml:space="preserve"> </w:t>
            </w:r>
            <w:r w:rsidR="00467BD3">
              <w:rPr>
                <w:lang w:eastAsia="pl-PL"/>
              </w:rPr>
              <w:t xml:space="preserve"> </w:t>
            </w:r>
          </w:p>
          <w:p w14:paraId="1333E529" w14:textId="1AE530AF" w:rsidR="009C15F8" w:rsidRPr="00467BD3" w:rsidRDefault="00DC298E" w:rsidP="00957B06">
            <w:pPr>
              <w:pStyle w:val="NormalnyWeb"/>
              <w:spacing w:before="120" w:after="120" w:line="276" w:lineRule="auto"/>
            </w:pPr>
            <w:r w:rsidRPr="00467BD3">
              <w:rPr>
                <w:sz w:val="22"/>
                <w:szCs w:val="22"/>
              </w:rPr>
              <w:t xml:space="preserve">Celem programu jest też dokonywanie dalszych inwestycji w </w:t>
            </w:r>
            <w:r w:rsidR="006E457A" w:rsidRPr="00467BD3">
              <w:rPr>
                <w:sz w:val="22"/>
                <w:szCs w:val="22"/>
              </w:rPr>
              <w:t xml:space="preserve">konkretnych </w:t>
            </w:r>
            <w:r w:rsidRPr="00467BD3">
              <w:rPr>
                <w:sz w:val="22"/>
                <w:szCs w:val="22"/>
              </w:rPr>
              <w:t>obszarach gdzie brak dostępności jest nadal najbardziej odczuwalny np. architektura (kwestia dostępności budynków mieszkalnych)</w:t>
            </w:r>
            <w:r w:rsidR="006E457A" w:rsidRPr="00467BD3">
              <w:rPr>
                <w:sz w:val="22"/>
                <w:szCs w:val="22"/>
              </w:rPr>
              <w:t xml:space="preserve"> czy</w:t>
            </w:r>
            <w:r w:rsidRPr="00467BD3">
              <w:rPr>
                <w:sz w:val="22"/>
                <w:szCs w:val="22"/>
              </w:rPr>
              <w:t xml:space="preserve"> cyfryzacja (zwiększenie dostępności istniejących stron internetowych).</w:t>
            </w:r>
            <w:r w:rsidR="00F26A24" w:rsidRPr="00467BD3">
              <w:rPr>
                <w:sz w:val="22"/>
                <w:szCs w:val="22"/>
              </w:rPr>
              <w:t xml:space="preserve"> </w:t>
            </w:r>
            <w:r w:rsidRPr="00467BD3">
              <w:rPr>
                <w:sz w:val="22"/>
                <w:szCs w:val="22"/>
              </w:rPr>
              <w:t>Program nie przewiduje bezpośredniej dystrybucji środków finansowych dla osób i grup społecznych. Osoby te skorzystają z efektów realizacji Programu ale nie będą jego bezpośrednimi odbiorcami. Program będzie skierowany</w:t>
            </w:r>
            <w:r w:rsidR="00165ADC">
              <w:rPr>
                <w:sz w:val="22"/>
                <w:szCs w:val="22"/>
              </w:rPr>
              <w:t xml:space="preserve"> </w:t>
            </w:r>
            <w:r w:rsidRPr="00467BD3">
              <w:rPr>
                <w:sz w:val="22"/>
                <w:szCs w:val="22"/>
              </w:rPr>
              <w:t>do instytucji publicznych różnego szczebla. Większość działań będzie realizowana przez podmioty publiczne na szczeblu centralnym (rozwiązania prawne, systemowe). Natomiast samorządy lokalne, organizacje pozarządowe czy podmioty prywatne - będą pełniły rolę odbiorców lub realizatorów określonych działań.</w:t>
            </w:r>
          </w:p>
        </w:tc>
      </w:tr>
      <w:tr w:rsidR="009C15F8" w:rsidRPr="00957B06" w14:paraId="39AE0B69" w14:textId="77777777">
        <w:trPr>
          <w:trHeight w:val="372"/>
        </w:trPr>
        <w:tc>
          <w:tcPr>
            <w:tcW w:w="11057" w:type="dxa"/>
            <w:shd w:val="clear" w:color="auto" w:fill="53A824"/>
          </w:tcPr>
          <w:p w14:paraId="7E4BB6BA" w14:textId="77777777" w:rsidR="009C15F8" w:rsidRPr="00957B06" w:rsidRDefault="00E06656">
            <w:pPr>
              <w:pStyle w:val="TableParagraph"/>
              <w:spacing w:before="60"/>
              <w:ind w:left="141"/>
              <w:rPr>
                <w:b/>
              </w:rPr>
            </w:pPr>
            <w:r w:rsidRPr="00957B06">
              <w:rPr>
                <w:b/>
                <w:spacing w:val="-2"/>
              </w:rPr>
              <w:lastRenderedPageBreak/>
              <w:t>11.Załączniki</w:t>
            </w:r>
            <w:r w:rsidRPr="00957B06">
              <w:rPr>
                <w:b/>
                <w:spacing w:val="-3"/>
              </w:rPr>
              <w:t xml:space="preserve"> </w:t>
            </w:r>
            <w:r w:rsidRPr="00957B06">
              <w:rPr>
                <w:b/>
                <w:spacing w:val="-2"/>
              </w:rPr>
              <w:t>(dokumenty</w:t>
            </w:r>
            <w:r w:rsidRPr="00957B06">
              <w:rPr>
                <w:b/>
              </w:rPr>
              <w:t xml:space="preserve"> </w:t>
            </w:r>
            <w:r w:rsidRPr="00957B06">
              <w:rPr>
                <w:b/>
                <w:spacing w:val="-2"/>
              </w:rPr>
              <w:t>źródłowe,</w:t>
            </w:r>
            <w:r w:rsidRPr="00957B06">
              <w:rPr>
                <w:b/>
              </w:rPr>
              <w:t xml:space="preserve"> </w:t>
            </w:r>
            <w:r w:rsidRPr="00957B06">
              <w:rPr>
                <w:b/>
                <w:spacing w:val="-2"/>
              </w:rPr>
              <w:t>dokumenty</w:t>
            </w:r>
            <w:r w:rsidRPr="00957B06">
              <w:rPr>
                <w:b/>
              </w:rPr>
              <w:t xml:space="preserve"> </w:t>
            </w:r>
            <w:r w:rsidRPr="00957B06">
              <w:rPr>
                <w:b/>
                <w:spacing w:val="-2"/>
              </w:rPr>
              <w:t>metodologiczne,</w:t>
            </w:r>
            <w:r w:rsidRPr="00957B06">
              <w:rPr>
                <w:b/>
              </w:rPr>
              <w:t xml:space="preserve"> </w:t>
            </w:r>
            <w:r w:rsidRPr="00957B06">
              <w:rPr>
                <w:b/>
                <w:spacing w:val="-2"/>
              </w:rPr>
              <w:t>wyniki</w:t>
            </w:r>
            <w:r w:rsidRPr="00957B06">
              <w:rPr>
                <w:b/>
              </w:rPr>
              <w:t xml:space="preserve"> </w:t>
            </w:r>
            <w:r w:rsidRPr="00957B06">
              <w:rPr>
                <w:b/>
                <w:spacing w:val="-2"/>
              </w:rPr>
              <w:t>pogłębionych</w:t>
            </w:r>
            <w:r w:rsidRPr="00957B06">
              <w:rPr>
                <w:b/>
              </w:rPr>
              <w:t xml:space="preserve"> </w:t>
            </w:r>
            <w:r w:rsidRPr="00957B06">
              <w:rPr>
                <w:b/>
                <w:spacing w:val="-2"/>
              </w:rPr>
              <w:t>studiów,</w:t>
            </w:r>
            <w:r w:rsidRPr="00957B06">
              <w:rPr>
                <w:b/>
              </w:rPr>
              <w:t xml:space="preserve"> </w:t>
            </w:r>
            <w:r w:rsidRPr="00957B06">
              <w:rPr>
                <w:b/>
                <w:spacing w:val="-2"/>
              </w:rPr>
              <w:t>badań)</w:t>
            </w:r>
          </w:p>
        </w:tc>
      </w:tr>
    </w:tbl>
    <w:p w14:paraId="0F6312AE" w14:textId="77777777" w:rsidR="009C15F8" w:rsidRPr="00957B06" w:rsidRDefault="009C15F8">
      <w:pPr>
        <w:pStyle w:val="Tekstpodstawowy"/>
        <w:rPr>
          <w:sz w:val="20"/>
        </w:rPr>
      </w:pPr>
    </w:p>
    <w:p w14:paraId="66D066A3" w14:textId="77777777" w:rsidR="009C15F8" w:rsidRPr="00957B06" w:rsidRDefault="009C15F8">
      <w:pPr>
        <w:pStyle w:val="Tekstpodstawowy"/>
        <w:rPr>
          <w:sz w:val="20"/>
        </w:rPr>
      </w:pPr>
    </w:p>
    <w:p w14:paraId="63FE7BB7" w14:textId="77777777" w:rsidR="009C15F8" w:rsidRPr="00957B06" w:rsidRDefault="009C15F8">
      <w:pPr>
        <w:pStyle w:val="Tekstpodstawowy"/>
        <w:rPr>
          <w:sz w:val="20"/>
        </w:rPr>
      </w:pPr>
    </w:p>
    <w:p w14:paraId="34DD0907" w14:textId="77777777" w:rsidR="009C15F8" w:rsidRPr="00957B06" w:rsidRDefault="009C15F8">
      <w:pPr>
        <w:pStyle w:val="Tekstpodstawowy"/>
        <w:rPr>
          <w:sz w:val="20"/>
        </w:rPr>
      </w:pPr>
    </w:p>
    <w:p w14:paraId="1EB01A73" w14:textId="77777777" w:rsidR="009C15F8" w:rsidRPr="00957B06" w:rsidRDefault="009C15F8">
      <w:pPr>
        <w:pStyle w:val="Tekstpodstawowy"/>
        <w:rPr>
          <w:sz w:val="20"/>
        </w:rPr>
      </w:pPr>
    </w:p>
    <w:p w14:paraId="64F37D80" w14:textId="77777777" w:rsidR="009C15F8" w:rsidRPr="00957B06" w:rsidRDefault="009C15F8">
      <w:pPr>
        <w:pStyle w:val="Tekstpodstawowy"/>
        <w:rPr>
          <w:sz w:val="20"/>
        </w:rPr>
      </w:pPr>
    </w:p>
    <w:p w14:paraId="6C227B87" w14:textId="77777777" w:rsidR="009C15F8" w:rsidRPr="00957B06" w:rsidRDefault="009C15F8">
      <w:pPr>
        <w:pStyle w:val="Tekstpodstawowy"/>
        <w:rPr>
          <w:sz w:val="20"/>
        </w:rPr>
      </w:pPr>
    </w:p>
    <w:p w14:paraId="01E9D6B1" w14:textId="77777777" w:rsidR="009C15F8" w:rsidRPr="00957B06" w:rsidRDefault="009C15F8">
      <w:pPr>
        <w:pStyle w:val="Tekstpodstawowy"/>
        <w:rPr>
          <w:sz w:val="20"/>
        </w:rPr>
      </w:pPr>
    </w:p>
    <w:p w14:paraId="02DE0677" w14:textId="77777777" w:rsidR="009C15F8" w:rsidRPr="00957B06" w:rsidRDefault="009C15F8">
      <w:pPr>
        <w:pStyle w:val="Tekstpodstawowy"/>
        <w:rPr>
          <w:sz w:val="20"/>
        </w:rPr>
      </w:pPr>
    </w:p>
    <w:p w14:paraId="1AAAC59F" w14:textId="77777777" w:rsidR="009C15F8" w:rsidRPr="00957B06" w:rsidRDefault="009C15F8">
      <w:pPr>
        <w:pStyle w:val="Tekstpodstawowy"/>
        <w:rPr>
          <w:sz w:val="20"/>
        </w:rPr>
      </w:pPr>
    </w:p>
    <w:p w14:paraId="28AD8FC9" w14:textId="77777777" w:rsidR="009C15F8" w:rsidRPr="00467BD3" w:rsidRDefault="00E06656">
      <w:pPr>
        <w:pStyle w:val="Tekstpodstawowy"/>
        <w:spacing w:before="213"/>
        <w:rPr>
          <w:sz w:val="20"/>
        </w:rPr>
      </w:pPr>
      <w:r w:rsidRPr="00467BD3">
        <w:rPr>
          <w:noProof/>
          <w:lang w:eastAsia="pl-PL"/>
        </w:rPr>
        <mc:AlternateContent>
          <mc:Choice Requires="wps">
            <w:drawing>
              <wp:anchor distT="0" distB="0" distL="0" distR="0" simplePos="0" relativeHeight="487596032" behindDoc="1" locked="0" layoutInCell="1" allowOverlap="1" wp14:anchorId="237228CE" wp14:editId="6D941D4E">
                <wp:simplePos x="0" y="0"/>
                <wp:positionH relativeFrom="page">
                  <wp:posOffset>457200</wp:posOffset>
                </wp:positionH>
                <wp:positionV relativeFrom="paragraph">
                  <wp:posOffset>296552</wp:posOffset>
                </wp:positionV>
                <wp:extent cx="182245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F67C74" id="Graphic 18" o:spid="_x0000_s1026" style="position:absolute;margin-left:36pt;margin-top:23.35pt;width:143.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" path="m,l1822450,e" filled="f" strokeweight="1pt">
                <v:path arrowok="t"/>
                <w10:wrap type="topAndBottom" anchorx="page"/>
              </v:shape>
            </w:pict>
          </mc:Fallback>
        </mc:AlternateContent>
      </w:r>
    </w:p>
    <w:p w14:paraId="2571D648" w14:textId="77777777" w:rsidR="009C15F8" w:rsidRPr="00957B06" w:rsidRDefault="00E06656">
      <w:pPr>
        <w:spacing w:before="114" w:line="295" w:lineRule="auto"/>
        <w:ind w:left="399" w:right="405"/>
        <w:jc w:val="both"/>
        <w:rPr>
          <w:sz w:val="16"/>
        </w:rPr>
      </w:pPr>
      <w:r w:rsidRPr="00957B06">
        <w:rPr>
          <w:rFonts w:ascii="Calibri" w:hAnsi="Calibri"/>
          <w:position w:val="6"/>
          <w:sz w:val="13"/>
        </w:rPr>
        <w:t>3</w:t>
      </w:r>
      <w:r w:rsidRPr="00957B06">
        <w:rPr>
          <w:rFonts w:ascii="Calibri" w:hAnsi="Calibri"/>
          <w:spacing w:val="23"/>
          <w:position w:val="6"/>
          <w:sz w:val="13"/>
        </w:rPr>
        <w:t xml:space="preserve"> </w:t>
      </w:r>
      <w:r w:rsidRPr="00957B06">
        <w:rPr>
          <w:sz w:val="16"/>
        </w:rPr>
        <w:t>Projekt ustawy o zmianie ustawy o ochronie praw lokatorów, mieszkaniowym zasobie gminy i o zmianie Kodeksu cywilnego, ustawy – Kodeks postępowania</w:t>
      </w:r>
      <w:r w:rsidRPr="00957B06">
        <w:rPr>
          <w:spacing w:val="40"/>
          <w:sz w:val="16"/>
        </w:rPr>
        <w:t xml:space="preserve"> </w:t>
      </w:r>
      <w:r w:rsidRPr="00957B06">
        <w:rPr>
          <w:sz w:val="16"/>
        </w:rPr>
        <w:t>cywilnego (UD66) został przekazany 8 listopada 2016 r. do uzgodnień międzyresortowych i konsultacji społecznych. W ramach konsultacji projektu zgłoszone</w:t>
      </w:r>
      <w:r w:rsidRPr="00957B06">
        <w:rPr>
          <w:spacing w:val="40"/>
          <w:sz w:val="16"/>
        </w:rPr>
        <w:t xml:space="preserve"> </w:t>
      </w:r>
      <w:r w:rsidRPr="00957B06">
        <w:rPr>
          <w:sz w:val="16"/>
        </w:rPr>
        <w:lastRenderedPageBreak/>
        <w:t>zostały</w:t>
      </w:r>
      <w:r w:rsidRPr="00957B06">
        <w:rPr>
          <w:spacing w:val="43"/>
          <w:sz w:val="16"/>
        </w:rPr>
        <w:t xml:space="preserve"> </w:t>
      </w:r>
      <w:r w:rsidRPr="00957B06">
        <w:rPr>
          <w:sz w:val="16"/>
        </w:rPr>
        <w:t>m.</w:t>
      </w:r>
      <w:r w:rsidRPr="00957B06">
        <w:rPr>
          <w:spacing w:val="43"/>
          <w:sz w:val="16"/>
        </w:rPr>
        <w:t xml:space="preserve"> </w:t>
      </w:r>
      <w:r w:rsidRPr="00957B06">
        <w:rPr>
          <w:sz w:val="16"/>
        </w:rPr>
        <w:t>in.</w:t>
      </w:r>
      <w:r w:rsidRPr="00957B06">
        <w:rPr>
          <w:spacing w:val="43"/>
          <w:sz w:val="16"/>
        </w:rPr>
        <w:t xml:space="preserve"> </w:t>
      </w:r>
      <w:r w:rsidRPr="00957B06">
        <w:rPr>
          <w:sz w:val="16"/>
        </w:rPr>
        <w:t>uwagi</w:t>
      </w:r>
      <w:r w:rsidRPr="00957B06">
        <w:rPr>
          <w:spacing w:val="44"/>
          <w:sz w:val="16"/>
        </w:rPr>
        <w:t xml:space="preserve"> </w:t>
      </w:r>
      <w:r w:rsidRPr="00957B06">
        <w:rPr>
          <w:sz w:val="16"/>
        </w:rPr>
        <w:t>wskazujące</w:t>
      </w:r>
      <w:r w:rsidRPr="00957B06">
        <w:rPr>
          <w:spacing w:val="45"/>
          <w:sz w:val="16"/>
        </w:rPr>
        <w:t xml:space="preserve"> </w:t>
      </w:r>
      <w:r w:rsidRPr="00957B06">
        <w:rPr>
          <w:sz w:val="16"/>
        </w:rPr>
        <w:t>na</w:t>
      </w:r>
      <w:r w:rsidRPr="00957B06">
        <w:rPr>
          <w:spacing w:val="43"/>
          <w:sz w:val="16"/>
        </w:rPr>
        <w:t xml:space="preserve"> </w:t>
      </w:r>
      <w:r w:rsidRPr="00957B06">
        <w:rPr>
          <w:sz w:val="16"/>
        </w:rPr>
        <w:t>konieczność</w:t>
      </w:r>
      <w:r w:rsidRPr="00957B06">
        <w:rPr>
          <w:spacing w:val="44"/>
          <w:sz w:val="16"/>
        </w:rPr>
        <w:t xml:space="preserve"> </w:t>
      </w:r>
      <w:r w:rsidRPr="00957B06">
        <w:rPr>
          <w:sz w:val="16"/>
        </w:rPr>
        <w:t>odpowiedniego</w:t>
      </w:r>
      <w:r w:rsidRPr="00957B06">
        <w:rPr>
          <w:spacing w:val="43"/>
          <w:sz w:val="16"/>
        </w:rPr>
        <w:t xml:space="preserve"> </w:t>
      </w:r>
      <w:r w:rsidRPr="00957B06">
        <w:rPr>
          <w:sz w:val="16"/>
        </w:rPr>
        <w:t>dostosowania</w:t>
      </w:r>
      <w:r w:rsidRPr="00957B06">
        <w:rPr>
          <w:spacing w:val="45"/>
          <w:sz w:val="16"/>
        </w:rPr>
        <w:t xml:space="preserve"> </w:t>
      </w:r>
      <w:r w:rsidRPr="00957B06">
        <w:rPr>
          <w:sz w:val="16"/>
        </w:rPr>
        <w:t>i</w:t>
      </w:r>
      <w:r w:rsidRPr="00957B06">
        <w:rPr>
          <w:spacing w:val="43"/>
          <w:sz w:val="16"/>
        </w:rPr>
        <w:t xml:space="preserve"> </w:t>
      </w:r>
      <w:r w:rsidRPr="00957B06">
        <w:rPr>
          <w:sz w:val="16"/>
        </w:rPr>
        <w:t>skorelowania</w:t>
      </w:r>
      <w:r w:rsidRPr="00957B06">
        <w:rPr>
          <w:spacing w:val="45"/>
          <w:sz w:val="16"/>
        </w:rPr>
        <w:t xml:space="preserve"> </w:t>
      </w:r>
      <w:r w:rsidRPr="00957B06">
        <w:rPr>
          <w:sz w:val="16"/>
        </w:rPr>
        <w:t>treści</w:t>
      </w:r>
      <w:r w:rsidRPr="00957B06">
        <w:rPr>
          <w:spacing w:val="44"/>
          <w:sz w:val="16"/>
        </w:rPr>
        <w:t xml:space="preserve"> </w:t>
      </w:r>
      <w:r w:rsidRPr="00957B06">
        <w:rPr>
          <w:sz w:val="16"/>
        </w:rPr>
        <w:t>ww.</w:t>
      </w:r>
      <w:r w:rsidRPr="00957B06">
        <w:rPr>
          <w:spacing w:val="43"/>
          <w:sz w:val="16"/>
        </w:rPr>
        <w:t xml:space="preserve"> </w:t>
      </w:r>
      <w:r w:rsidRPr="00957B06">
        <w:rPr>
          <w:sz w:val="16"/>
        </w:rPr>
        <w:t>projektu</w:t>
      </w:r>
      <w:r w:rsidRPr="00957B06">
        <w:rPr>
          <w:spacing w:val="43"/>
          <w:sz w:val="16"/>
        </w:rPr>
        <w:t xml:space="preserve"> </w:t>
      </w:r>
      <w:r w:rsidRPr="00957B06">
        <w:rPr>
          <w:sz w:val="16"/>
        </w:rPr>
        <w:t>i</w:t>
      </w:r>
      <w:r w:rsidRPr="00957B06">
        <w:rPr>
          <w:spacing w:val="43"/>
          <w:sz w:val="16"/>
        </w:rPr>
        <w:t xml:space="preserve"> </w:t>
      </w:r>
      <w:r w:rsidRPr="00957B06">
        <w:rPr>
          <w:sz w:val="16"/>
        </w:rPr>
        <w:t>projektu</w:t>
      </w:r>
      <w:r w:rsidRPr="00957B06">
        <w:rPr>
          <w:spacing w:val="43"/>
          <w:sz w:val="16"/>
        </w:rPr>
        <w:t xml:space="preserve"> </w:t>
      </w:r>
      <w:r w:rsidRPr="00957B06">
        <w:rPr>
          <w:sz w:val="16"/>
        </w:rPr>
        <w:t>ustawy</w:t>
      </w:r>
      <w:r w:rsidRPr="00957B06">
        <w:rPr>
          <w:spacing w:val="44"/>
          <w:sz w:val="16"/>
        </w:rPr>
        <w:t xml:space="preserve"> </w:t>
      </w:r>
      <w:r w:rsidRPr="00957B06">
        <w:rPr>
          <w:sz w:val="16"/>
        </w:rPr>
        <w:t>o</w:t>
      </w:r>
      <w:r w:rsidRPr="00957B06">
        <w:rPr>
          <w:spacing w:val="43"/>
          <w:sz w:val="16"/>
        </w:rPr>
        <w:t xml:space="preserve"> </w:t>
      </w:r>
      <w:r w:rsidRPr="00957B06">
        <w:rPr>
          <w:sz w:val="16"/>
        </w:rPr>
        <w:t>zmianie</w:t>
      </w:r>
      <w:r w:rsidRPr="00957B06">
        <w:rPr>
          <w:spacing w:val="44"/>
          <w:sz w:val="16"/>
        </w:rPr>
        <w:t xml:space="preserve"> </w:t>
      </w:r>
      <w:r w:rsidRPr="00957B06">
        <w:rPr>
          <w:spacing w:val="-2"/>
          <w:sz w:val="16"/>
        </w:rPr>
        <w:t>ustawy</w:t>
      </w:r>
    </w:p>
    <w:p w14:paraId="1B364DD8" w14:textId="77777777" w:rsidR="009C15F8" w:rsidRPr="00957B06" w:rsidRDefault="00E06656">
      <w:pPr>
        <w:spacing w:line="168" w:lineRule="exact"/>
        <w:ind w:left="399"/>
        <w:jc w:val="both"/>
        <w:rPr>
          <w:sz w:val="16"/>
        </w:rPr>
      </w:pPr>
      <w:r w:rsidRPr="00957B06">
        <w:rPr>
          <w:sz w:val="16"/>
        </w:rPr>
        <w:t>o</w:t>
      </w:r>
      <w:r w:rsidRPr="00957B06">
        <w:rPr>
          <w:spacing w:val="-3"/>
          <w:sz w:val="16"/>
        </w:rPr>
        <w:t xml:space="preserve"> </w:t>
      </w:r>
      <w:r w:rsidRPr="00957B06">
        <w:rPr>
          <w:sz w:val="16"/>
        </w:rPr>
        <w:t>finansowym</w:t>
      </w:r>
      <w:r w:rsidRPr="00957B06">
        <w:rPr>
          <w:spacing w:val="4"/>
          <w:sz w:val="16"/>
        </w:rPr>
        <w:t xml:space="preserve"> </w:t>
      </w:r>
      <w:r w:rsidRPr="00957B06">
        <w:rPr>
          <w:sz w:val="16"/>
        </w:rPr>
        <w:t>wsparciu</w:t>
      </w:r>
      <w:r w:rsidRPr="00957B06">
        <w:rPr>
          <w:spacing w:val="3"/>
          <w:sz w:val="16"/>
        </w:rPr>
        <w:t xml:space="preserve"> </w:t>
      </w:r>
      <w:r w:rsidRPr="00957B06">
        <w:rPr>
          <w:sz w:val="16"/>
        </w:rPr>
        <w:t>tworzenia</w:t>
      </w:r>
      <w:r w:rsidRPr="00957B06">
        <w:rPr>
          <w:spacing w:val="3"/>
          <w:sz w:val="16"/>
        </w:rPr>
        <w:t xml:space="preserve"> </w:t>
      </w:r>
      <w:r w:rsidRPr="00957B06">
        <w:rPr>
          <w:sz w:val="16"/>
        </w:rPr>
        <w:t>lokali</w:t>
      </w:r>
      <w:r w:rsidRPr="00957B06">
        <w:rPr>
          <w:spacing w:val="3"/>
          <w:sz w:val="16"/>
        </w:rPr>
        <w:t xml:space="preserve"> </w:t>
      </w:r>
      <w:r w:rsidRPr="00957B06">
        <w:rPr>
          <w:sz w:val="16"/>
        </w:rPr>
        <w:t>socjalnych,</w:t>
      </w:r>
      <w:r w:rsidRPr="00957B06">
        <w:rPr>
          <w:spacing w:val="3"/>
          <w:sz w:val="16"/>
        </w:rPr>
        <w:t xml:space="preserve"> </w:t>
      </w:r>
      <w:r w:rsidRPr="00957B06">
        <w:rPr>
          <w:sz w:val="16"/>
        </w:rPr>
        <w:t>mieszkań</w:t>
      </w:r>
      <w:r w:rsidRPr="00957B06">
        <w:rPr>
          <w:spacing w:val="2"/>
          <w:sz w:val="16"/>
        </w:rPr>
        <w:t xml:space="preserve"> </w:t>
      </w:r>
      <w:r w:rsidRPr="00957B06">
        <w:rPr>
          <w:sz w:val="16"/>
        </w:rPr>
        <w:t>chronionych,</w:t>
      </w:r>
      <w:r w:rsidRPr="00957B06">
        <w:rPr>
          <w:spacing w:val="3"/>
          <w:sz w:val="16"/>
        </w:rPr>
        <w:t xml:space="preserve"> </w:t>
      </w:r>
      <w:r w:rsidRPr="00957B06">
        <w:rPr>
          <w:sz w:val="16"/>
        </w:rPr>
        <w:t>noclegowni</w:t>
      </w:r>
      <w:r w:rsidRPr="00957B06">
        <w:rPr>
          <w:spacing w:val="4"/>
          <w:sz w:val="16"/>
        </w:rPr>
        <w:t xml:space="preserve"> </w:t>
      </w:r>
      <w:r w:rsidRPr="00957B06">
        <w:rPr>
          <w:sz w:val="16"/>
        </w:rPr>
        <w:t>i</w:t>
      </w:r>
      <w:r w:rsidRPr="00957B06">
        <w:rPr>
          <w:spacing w:val="2"/>
          <w:sz w:val="16"/>
        </w:rPr>
        <w:t xml:space="preserve"> </w:t>
      </w:r>
      <w:r w:rsidRPr="00957B06">
        <w:rPr>
          <w:sz w:val="16"/>
        </w:rPr>
        <w:t>domów</w:t>
      </w:r>
      <w:r w:rsidRPr="00957B06">
        <w:rPr>
          <w:spacing w:val="3"/>
          <w:sz w:val="16"/>
        </w:rPr>
        <w:t xml:space="preserve"> </w:t>
      </w:r>
      <w:r w:rsidRPr="00957B06">
        <w:rPr>
          <w:sz w:val="16"/>
        </w:rPr>
        <w:t>dla</w:t>
      </w:r>
      <w:r w:rsidRPr="00957B06">
        <w:rPr>
          <w:spacing w:val="3"/>
          <w:sz w:val="16"/>
        </w:rPr>
        <w:t xml:space="preserve"> </w:t>
      </w:r>
      <w:r w:rsidRPr="00957B06">
        <w:rPr>
          <w:sz w:val="16"/>
        </w:rPr>
        <w:t>bezdomnych</w:t>
      </w:r>
      <w:r w:rsidRPr="00957B06">
        <w:rPr>
          <w:spacing w:val="2"/>
          <w:sz w:val="16"/>
        </w:rPr>
        <w:t xml:space="preserve"> </w:t>
      </w:r>
      <w:r w:rsidRPr="00957B06">
        <w:rPr>
          <w:sz w:val="16"/>
        </w:rPr>
        <w:t>oraz</w:t>
      </w:r>
      <w:r w:rsidRPr="00957B06">
        <w:rPr>
          <w:spacing w:val="3"/>
          <w:sz w:val="16"/>
        </w:rPr>
        <w:t xml:space="preserve"> </w:t>
      </w:r>
      <w:r w:rsidRPr="00957B06">
        <w:rPr>
          <w:sz w:val="16"/>
        </w:rPr>
        <w:t>niektórych</w:t>
      </w:r>
      <w:r w:rsidRPr="00957B06">
        <w:rPr>
          <w:spacing w:val="3"/>
          <w:sz w:val="16"/>
        </w:rPr>
        <w:t xml:space="preserve"> </w:t>
      </w:r>
      <w:r w:rsidRPr="00957B06">
        <w:rPr>
          <w:sz w:val="16"/>
        </w:rPr>
        <w:t>innych</w:t>
      </w:r>
      <w:r w:rsidRPr="00957B06">
        <w:rPr>
          <w:spacing w:val="2"/>
          <w:sz w:val="16"/>
        </w:rPr>
        <w:t xml:space="preserve"> </w:t>
      </w:r>
      <w:r w:rsidRPr="00957B06">
        <w:rPr>
          <w:sz w:val="16"/>
        </w:rPr>
        <w:t>ustaw</w:t>
      </w:r>
      <w:r w:rsidRPr="00957B06">
        <w:rPr>
          <w:spacing w:val="3"/>
          <w:sz w:val="16"/>
        </w:rPr>
        <w:t xml:space="preserve"> </w:t>
      </w:r>
      <w:r w:rsidRPr="00957B06">
        <w:rPr>
          <w:sz w:val="16"/>
        </w:rPr>
        <w:t>(UD99)</w:t>
      </w:r>
      <w:r w:rsidRPr="00957B06">
        <w:rPr>
          <w:spacing w:val="3"/>
          <w:sz w:val="16"/>
        </w:rPr>
        <w:t xml:space="preserve"> </w:t>
      </w:r>
      <w:r w:rsidRPr="00957B06">
        <w:rPr>
          <w:sz w:val="16"/>
        </w:rPr>
        <w:t>z</w:t>
      </w:r>
      <w:r w:rsidRPr="00957B06">
        <w:rPr>
          <w:spacing w:val="3"/>
          <w:sz w:val="16"/>
        </w:rPr>
        <w:t xml:space="preserve"> </w:t>
      </w:r>
      <w:r w:rsidRPr="00957B06">
        <w:rPr>
          <w:spacing w:val="-2"/>
          <w:sz w:val="16"/>
        </w:rPr>
        <w:t>uwagi</w:t>
      </w:r>
    </w:p>
    <w:p w14:paraId="0D55081A" w14:textId="77777777" w:rsidR="009C15F8" w:rsidRPr="00957B06" w:rsidRDefault="00E06656">
      <w:pPr>
        <w:spacing w:before="27" w:line="276" w:lineRule="auto"/>
        <w:ind w:left="399" w:right="405"/>
        <w:jc w:val="both"/>
        <w:rPr>
          <w:sz w:val="16"/>
        </w:rPr>
      </w:pPr>
      <w:r w:rsidRPr="00957B06">
        <w:rPr>
          <w:sz w:val="16"/>
        </w:rPr>
        <w:t>na</w:t>
      </w:r>
      <w:r w:rsidRPr="00957B06">
        <w:rPr>
          <w:spacing w:val="-1"/>
          <w:sz w:val="16"/>
        </w:rPr>
        <w:t xml:space="preserve"> </w:t>
      </w:r>
      <w:r w:rsidRPr="00957B06">
        <w:rPr>
          <w:sz w:val="16"/>
        </w:rPr>
        <w:t>fakt,</w:t>
      </w:r>
      <w:r w:rsidRPr="00957B06">
        <w:rPr>
          <w:spacing w:val="-1"/>
          <w:sz w:val="16"/>
        </w:rPr>
        <w:t xml:space="preserve"> </w:t>
      </w:r>
      <w:r w:rsidRPr="00957B06">
        <w:rPr>
          <w:sz w:val="16"/>
        </w:rPr>
        <w:t>że</w:t>
      </w:r>
      <w:r w:rsidRPr="00957B06">
        <w:rPr>
          <w:spacing w:val="-1"/>
          <w:sz w:val="16"/>
        </w:rPr>
        <w:t xml:space="preserve"> </w:t>
      </w:r>
      <w:r w:rsidRPr="00957B06">
        <w:rPr>
          <w:sz w:val="16"/>
        </w:rPr>
        <w:t>zmiany</w:t>
      </w:r>
      <w:r w:rsidRPr="00957B06">
        <w:rPr>
          <w:spacing w:val="-1"/>
          <w:sz w:val="16"/>
        </w:rPr>
        <w:t xml:space="preserve"> </w:t>
      </w:r>
      <w:r w:rsidRPr="00957B06">
        <w:rPr>
          <w:sz w:val="16"/>
        </w:rPr>
        <w:t>wprowadzane w</w:t>
      </w:r>
      <w:r w:rsidRPr="00957B06">
        <w:rPr>
          <w:spacing w:val="-1"/>
          <w:sz w:val="16"/>
        </w:rPr>
        <w:t xml:space="preserve"> </w:t>
      </w:r>
      <w:r w:rsidRPr="00957B06">
        <w:rPr>
          <w:sz w:val="16"/>
        </w:rPr>
        <w:t>obu</w:t>
      </w:r>
      <w:r w:rsidRPr="00957B06">
        <w:rPr>
          <w:spacing w:val="-1"/>
          <w:sz w:val="16"/>
        </w:rPr>
        <w:t xml:space="preserve"> </w:t>
      </w:r>
      <w:r w:rsidRPr="00957B06">
        <w:rPr>
          <w:sz w:val="16"/>
        </w:rPr>
        <w:t>ustawach</w:t>
      </w:r>
      <w:r w:rsidRPr="00957B06">
        <w:rPr>
          <w:spacing w:val="-1"/>
          <w:sz w:val="16"/>
        </w:rPr>
        <w:t xml:space="preserve"> </w:t>
      </w:r>
      <w:r w:rsidRPr="00957B06">
        <w:rPr>
          <w:sz w:val="16"/>
        </w:rPr>
        <w:t>dotyczą niejednokrotnie tych</w:t>
      </w:r>
      <w:r w:rsidRPr="00957B06">
        <w:rPr>
          <w:spacing w:val="-1"/>
          <w:sz w:val="16"/>
        </w:rPr>
        <w:t xml:space="preserve"> </w:t>
      </w:r>
      <w:r w:rsidRPr="00957B06">
        <w:rPr>
          <w:sz w:val="16"/>
        </w:rPr>
        <w:t>samych</w:t>
      </w:r>
      <w:r w:rsidRPr="00957B06">
        <w:rPr>
          <w:spacing w:val="-1"/>
          <w:sz w:val="16"/>
        </w:rPr>
        <w:t xml:space="preserve"> </w:t>
      </w:r>
      <w:r w:rsidRPr="00957B06">
        <w:rPr>
          <w:sz w:val="16"/>
        </w:rPr>
        <w:t>przepisów.</w:t>
      </w:r>
      <w:r w:rsidRPr="00957B06">
        <w:rPr>
          <w:spacing w:val="-1"/>
          <w:sz w:val="16"/>
        </w:rPr>
        <w:t xml:space="preserve"> </w:t>
      </w:r>
      <w:r w:rsidRPr="00957B06">
        <w:rPr>
          <w:sz w:val="16"/>
        </w:rPr>
        <w:t>W</w:t>
      </w:r>
      <w:r w:rsidRPr="00957B06">
        <w:rPr>
          <w:spacing w:val="-1"/>
          <w:sz w:val="16"/>
        </w:rPr>
        <w:t xml:space="preserve"> </w:t>
      </w:r>
      <w:r w:rsidRPr="00957B06">
        <w:rPr>
          <w:sz w:val="16"/>
        </w:rPr>
        <w:t>związku</w:t>
      </w:r>
      <w:r w:rsidRPr="00957B06">
        <w:rPr>
          <w:spacing w:val="-1"/>
          <w:sz w:val="16"/>
        </w:rPr>
        <w:t xml:space="preserve"> </w:t>
      </w:r>
      <w:r w:rsidRPr="00957B06">
        <w:rPr>
          <w:sz w:val="16"/>
        </w:rPr>
        <w:t>z</w:t>
      </w:r>
      <w:r w:rsidRPr="00957B06">
        <w:rPr>
          <w:spacing w:val="-1"/>
          <w:sz w:val="16"/>
        </w:rPr>
        <w:t xml:space="preserve"> </w:t>
      </w:r>
      <w:r w:rsidRPr="00957B06">
        <w:rPr>
          <w:sz w:val="16"/>
        </w:rPr>
        <w:t>tym,</w:t>
      </w:r>
      <w:r w:rsidRPr="00957B06">
        <w:rPr>
          <w:spacing w:val="-1"/>
          <w:sz w:val="16"/>
        </w:rPr>
        <w:t xml:space="preserve"> </w:t>
      </w:r>
      <w:r w:rsidRPr="00957B06">
        <w:rPr>
          <w:sz w:val="16"/>
        </w:rPr>
        <w:t>zgodnie z</w:t>
      </w:r>
      <w:r w:rsidRPr="00957B06">
        <w:rPr>
          <w:spacing w:val="-1"/>
          <w:sz w:val="16"/>
        </w:rPr>
        <w:t xml:space="preserve"> </w:t>
      </w:r>
      <w:r w:rsidRPr="00957B06">
        <w:rPr>
          <w:sz w:val="16"/>
        </w:rPr>
        <w:t>wnioskiem Ministra Infrastruktury</w:t>
      </w:r>
      <w:r w:rsidRPr="00957B06">
        <w:rPr>
          <w:spacing w:val="40"/>
          <w:sz w:val="16"/>
        </w:rPr>
        <w:t xml:space="preserve"> </w:t>
      </w:r>
      <w:r w:rsidRPr="00957B06">
        <w:rPr>
          <w:sz w:val="16"/>
        </w:rPr>
        <w:t>i</w:t>
      </w:r>
      <w:r w:rsidRPr="00957B06">
        <w:rPr>
          <w:spacing w:val="10"/>
          <w:sz w:val="16"/>
        </w:rPr>
        <w:t xml:space="preserve"> </w:t>
      </w:r>
      <w:r w:rsidRPr="00957B06">
        <w:rPr>
          <w:sz w:val="16"/>
        </w:rPr>
        <w:t>Budownictwa</w:t>
      </w:r>
      <w:r w:rsidRPr="00957B06">
        <w:rPr>
          <w:spacing w:val="11"/>
          <w:sz w:val="16"/>
        </w:rPr>
        <w:t xml:space="preserve"> </w:t>
      </w:r>
      <w:r w:rsidRPr="00957B06">
        <w:rPr>
          <w:sz w:val="16"/>
        </w:rPr>
        <w:t>30</w:t>
      </w:r>
      <w:r w:rsidRPr="00957B06">
        <w:rPr>
          <w:spacing w:val="10"/>
          <w:sz w:val="16"/>
        </w:rPr>
        <w:t xml:space="preserve"> </w:t>
      </w:r>
      <w:r w:rsidRPr="00957B06">
        <w:rPr>
          <w:sz w:val="16"/>
        </w:rPr>
        <w:t>grudnia</w:t>
      </w:r>
      <w:r w:rsidRPr="00957B06">
        <w:rPr>
          <w:spacing w:val="11"/>
          <w:sz w:val="16"/>
        </w:rPr>
        <w:t xml:space="preserve"> </w:t>
      </w:r>
      <w:r w:rsidRPr="00957B06">
        <w:rPr>
          <w:sz w:val="16"/>
        </w:rPr>
        <w:t>2016</w:t>
      </w:r>
      <w:r w:rsidRPr="00957B06">
        <w:rPr>
          <w:spacing w:val="10"/>
          <w:sz w:val="16"/>
        </w:rPr>
        <w:t xml:space="preserve"> </w:t>
      </w:r>
      <w:r w:rsidRPr="00957B06">
        <w:rPr>
          <w:sz w:val="16"/>
        </w:rPr>
        <w:t>r.</w:t>
      </w:r>
      <w:r w:rsidRPr="00957B06">
        <w:rPr>
          <w:spacing w:val="10"/>
          <w:sz w:val="16"/>
        </w:rPr>
        <w:t xml:space="preserve"> </w:t>
      </w:r>
      <w:r w:rsidRPr="00957B06">
        <w:rPr>
          <w:sz w:val="16"/>
        </w:rPr>
        <w:t>w</w:t>
      </w:r>
      <w:r w:rsidRPr="00957B06">
        <w:rPr>
          <w:spacing w:val="10"/>
          <w:sz w:val="16"/>
        </w:rPr>
        <w:t xml:space="preserve"> </w:t>
      </w:r>
      <w:r w:rsidRPr="00957B06">
        <w:rPr>
          <w:sz w:val="16"/>
        </w:rPr>
        <w:t>Wykazie</w:t>
      </w:r>
      <w:r w:rsidRPr="00957B06">
        <w:rPr>
          <w:spacing w:val="11"/>
          <w:sz w:val="16"/>
        </w:rPr>
        <w:t xml:space="preserve"> </w:t>
      </w:r>
      <w:r w:rsidRPr="00957B06">
        <w:rPr>
          <w:sz w:val="16"/>
        </w:rPr>
        <w:t>prac</w:t>
      </w:r>
      <w:r w:rsidRPr="00957B06">
        <w:rPr>
          <w:spacing w:val="10"/>
          <w:sz w:val="16"/>
        </w:rPr>
        <w:t xml:space="preserve"> </w:t>
      </w:r>
      <w:r w:rsidRPr="00957B06">
        <w:rPr>
          <w:sz w:val="16"/>
        </w:rPr>
        <w:t>legislacyjnych</w:t>
      </w:r>
      <w:r w:rsidRPr="00957B06">
        <w:rPr>
          <w:spacing w:val="10"/>
          <w:sz w:val="16"/>
        </w:rPr>
        <w:t xml:space="preserve"> </w:t>
      </w:r>
      <w:r w:rsidRPr="00957B06">
        <w:rPr>
          <w:sz w:val="16"/>
        </w:rPr>
        <w:t>i</w:t>
      </w:r>
      <w:r w:rsidRPr="00957B06">
        <w:rPr>
          <w:spacing w:val="10"/>
          <w:sz w:val="16"/>
        </w:rPr>
        <w:t xml:space="preserve"> </w:t>
      </w:r>
      <w:r w:rsidRPr="00957B06">
        <w:rPr>
          <w:sz w:val="16"/>
        </w:rPr>
        <w:t>programowych</w:t>
      </w:r>
      <w:r w:rsidRPr="00957B06">
        <w:rPr>
          <w:spacing w:val="10"/>
          <w:sz w:val="16"/>
        </w:rPr>
        <w:t xml:space="preserve"> </w:t>
      </w:r>
      <w:r w:rsidRPr="00957B06">
        <w:rPr>
          <w:sz w:val="16"/>
        </w:rPr>
        <w:t>Rady</w:t>
      </w:r>
      <w:r w:rsidRPr="00957B06">
        <w:rPr>
          <w:spacing w:val="10"/>
          <w:sz w:val="16"/>
        </w:rPr>
        <w:t xml:space="preserve"> </w:t>
      </w:r>
      <w:r w:rsidRPr="00957B06">
        <w:rPr>
          <w:sz w:val="16"/>
        </w:rPr>
        <w:t>Ministrów</w:t>
      </w:r>
      <w:r w:rsidRPr="00957B06">
        <w:rPr>
          <w:spacing w:val="10"/>
          <w:sz w:val="16"/>
        </w:rPr>
        <w:t xml:space="preserve"> </w:t>
      </w:r>
      <w:r w:rsidRPr="00957B06">
        <w:rPr>
          <w:sz w:val="16"/>
        </w:rPr>
        <w:t>zmieniony</w:t>
      </w:r>
      <w:r w:rsidRPr="00957B06">
        <w:rPr>
          <w:spacing w:val="10"/>
          <w:sz w:val="16"/>
        </w:rPr>
        <w:t xml:space="preserve"> </w:t>
      </w:r>
      <w:r w:rsidRPr="00957B06">
        <w:rPr>
          <w:sz w:val="16"/>
        </w:rPr>
        <w:t>został</w:t>
      </w:r>
      <w:r w:rsidRPr="00957B06">
        <w:rPr>
          <w:spacing w:val="11"/>
          <w:sz w:val="16"/>
        </w:rPr>
        <w:t xml:space="preserve"> </w:t>
      </w:r>
      <w:r w:rsidRPr="00957B06">
        <w:rPr>
          <w:sz w:val="16"/>
        </w:rPr>
        <w:t>zakres</w:t>
      </w:r>
      <w:r w:rsidRPr="00957B06">
        <w:rPr>
          <w:spacing w:val="10"/>
          <w:sz w:val="16"/>
        </w:rPr>
        <w:t xml:space="preserve"> </w:t>
      </w:r>
      <w:r w:rsidRPr="00957B06">
        <w:rPr>
          <w:sz w:val="16"/>
        </w:rPr>
        <w:t>projektu</w:t>
      </w:r>
      <w:r w:rsidRPr="00957B06">
        <w:rPr>
          <w:spacing w:val="10"/>
          <w:sz w:val="16"/>
        </w:rPr>
        <w:t xml:space="preserve"> </w:t>
      </w:r>
      <w:r w:rsidRPr="00957B06">
        <w:rPr>
          <w:sz w:val="16"/>
        </w:rPr>
        <w:t>ustawy</w:t>
      </w:r>
      <w:r w:rsidRPr="00957B06">
        <w:rPr>
          <w:spacing w:val="10"/>
          <w:sz w:val="16"/>
        </w:rPr>
        <w:t xml:space="preserve"> </w:t>
      </w:r>
      <w:r w:rsidRPr="00957B06">
        <w:rPr>
          <w:sz w:val="16"/>
        </w:rPr>
        <w:t>o</w:t>
      </w:r>
      <w:r w:rsidRPr="00957B06">
        <w:rPr>
          <w:spacing w:val="10"/>
          <w:sz w:val="16"/>
        </w:rPr>
        <w:t xml:space="preserve"> </w:t>
      </w:r>
      <w:r w:rsidRPr="00957B06">
        <w:rPr>
          <w:sz w:val="16"/>
        </w:rPr>
        <w:t>zmianie</w:t>
      </w:r>
      <w:r w:rsidRPr="00957B06">
        <w:rPr>
          <w:spacing w:val="11"/>
          <w:sz w:val="16"/>
        </w:rPr>
        <w:t xml:space="preserve"> </w:t>
      </w:r>
      <w:r w:rsidRPr="00957B06">
        <w:rPr>
          <w:sz w:val="16"/>
        </w:rPr>
        <w:t>ustawy</w:t>
      </w:r>
    </w:p>
    <w:p w14:paraId="12247C81" w14:textId="77777777" w:rsidR="009C15F8" w:rsidRPr="00957B06" w:rsidRDefault="00E06656">
      <w:pPr>
        <w:ind w:left="399"/>
        <w:jc w:val="both"/>
        <w:rPr>
          <w:sz w:val="16"/>
        </w:rPr>
      </w:pPr>
      <w:r w:rsidRPr="00957B06">
        <w:rPr>
          <w:sz w:val="16"/>
        </w:rPr>
        <w:t>o</w:t>
      </w:r>
      <w:r w:rsidRPr="00957B06">
        <w:rPr>
          <w:spacing w:val="-5"/>
          <w:sz w:val="16"/>
        </w:rPr>
        <w:t xml:space="preserve"> </w:t>
      </w:r>
      <w:r w:rsidRPr="00957B06">
        <w:rPr>
          <w:sz w:val="16"/>
        </w:rPr>
        <w:t>finansowym</w:t>
      </w:r>
      <w:r w:rsidRPr="00957B06">
        <w:rPr>
          <w:spacing w:val="-3"/>
          <w:sz w:val="16"/>
        </w:rPr>
        <w:t xml:space="preserve"> </w:t>
      </w:r>
      <w:r w:rsidRPr="00957B06">
        <w:rPr>
          <w:sz w:val="16"/>
        </w:rPr>
        <w:t>wsparciu</w:t>
      </w:r>
      <w:r w:rsidRPr="00957B06">
        <w:rPr>
          <w:spacing w:val="-3"/>
          <w:sz w:val="16"/>
        </w:rPr>
        <w:t xml:space="preserve"> </w:t>
      </w:r>
      <w:r w:rsidRPr="00957B06">
        <w:rPr>
          <w:sz w:val="16"/>
        </w:rPr>
        <w:t>tworzenia</w:t>
      </w:r>
      <w:r w:rsidRPr="00957B06">
        <w:rPr>
          <w:spacing w:val="-3"/>
          <w:sz w:val="16"/>
        </w:rPr>
        <w:t xml:space="preserve"> </w:t>
      </w:r>
      <w:r w:rsidRPr="00957B06">
        <w:rPr>
          <w:sz w:val="16"/>
        </w:rPr>
        <w:t>lokali</w:t>
      </w:r>
      <w:r w:rsidRPr="00957B06">
        <w:rPr>
          <w:spacing w:val="-4"/>
          <w:sz w:val="16"/>
        </w:rPr>
        <w:t xml:space="preserve"> </w:t>
      </w:r>
      <w:r w:rsidRPr="00957B06">
        <w:rPr>
          <w:sz w:val="16"/>
        </w:rPr>
        <w:t>socjalnych,</w:t>
      </w:r>
      <w:r w:rsidRPr="00957B06">
        <w:rPr>
          <w:spacing w:val="-2"/>
          <w:sz w:val="16"/>
        </w:rPr>
        <w:t xml:space="preserve"> </w:t>
      </w:r>
      <w:r w:rsidRPr="00957B06">
        <w:rPr>
          <w:sz w:val="16"/>
        </w:rPr>
        <w:t>mieszkań</w:t>
      </w:r>
      <w:r w:rsidRPr="00957B06">
        <w:rPr>
          <w:spacing w:val="-3"/>
          <w:sz w:val="16"/>
        </w:rPr>
        <w:t xml:space="preserve"> </w:t>
      </w:r>
      <w:r w:rsidRPr="00957B06">
        <w:rPr>
          <w:sz w:val="16"/>
        </w:rPr>
        <w:t>chronionych,</w:t>
      </w:r>
      <w:r w:rsidRPr="00957B06">
        <w:rPr>
          <w:spacing w:val="1"/>
          <w:sz w:val="16"/>
        </w:rPr>
        <w:t xml:space="preserve"> </w:t>
      </w:r>
      <w:r w:rsidRPr="00957B06">
        <w:rPr>
          <w:sz w:val="16"/>
        </w:rPr>
        <w:t>noclegowni</w:t>
      </w:r>
      <w:r w:rsidRPr="00957B06">
        <w:rPr>
          <w:spacing w:val="-4"/>
          <w:sz w:val="16"/>
        </w:rPr>
        <w:t xml:space="preserve"> </w:t>
      </w:r>
      <w:r w:rsidRPr="00957B06">
        <w:rPr>
          <w:sz w:val="16"/>
        </w:rPr>
        <w:t>i</w:t>
      </w:r>
      <w:r w:rsidRPr="00957B06">
        <w:rPr>
          <w:spacing w:val="-3"/>
          <w:sz w:val="16"/>
        </w:rPr>
        <w:t xml:space="preserve"> </w:t>
      </w:r>
      <w:r w:rsidRPr="00957B06">
        <w:rPr>
          <w:sz w:val="16"/>
        </w:rPr>
        <w:t>domów</w:t>
      </w:r>
      <w:r w:rsidRPr="00957B06">
        <w:rPr>
          <w:spacing w:val="-3"/>
          <w:sz w:val="16"/>
        </w:rPr>
        <w:t xml:space="preserve"> </w:t>
      </w:r>
      <w:r w:rsidRPr="00957B06">
        <w:rPr>
          <w:sz w:val="16"/>
        </w:rPr>
        <w:t>dla</w:t>
      </w:r>
      <w:r w:rsidRPr="00957B06">
        <w:rPr>
          <w:spacing w:val="-4"/>
          <w:sz w:val="16"/>
        </w:rPr>
        <w:t xml:space="preserve"> </w:t>
      </w:r>
      <w:r w:rsidRPr="00957B06">
        <w:rPr>
          <w:sz w:val="16"/>
        </w:rPr>
        <w:t>bezdomnych</w:t>
      </w:r>
      <w:r w:rsidRPr="00957B06">
        <w:rPr>
          <w:spacing w:val="-2"/>
          <w:sz w:val="16"/>
        </w:rPr>
        <w:t xml:space="preserve"> </w:t>
      </w:r>
      <w:r w:rsidRPr="00957B06">
        <w:rPr>
          <w:sz w:val="16"/>
        </w:rPr>
        <w:t>oraz</w:t>
      </w:r>
      <w:r w:rsidRPr="00957B06">
        <w:rPr>
          <w:spacing w:val="-4"/>
          <w:sz w:val="16"/>
        </w:rPr>
        <w:t xml:space="preserve"> </w:t>
      </w:r>
      <w:r w:rsidRPr="00957B06">
        <w:rPr>
          <w:sz w:val="16"/>
        </w:rPr>
        <w:t>niektórych</w:t>
      </w:r>
      <w:r w:rsidRPr="00957B06">
        <w:rPr>
          <w:spacing w:val="-2"/>
          <w:sz w:val="16"/>
        </w:rPr>
        <w:t xml:space="preserve"> </w:t>
      </w:r>
      <w:r w:rsidRPr="00957B06">
        <w:rPr>
          <w:sz w:val="16"/>
        </w:rPr>
        <w:t>innych</w:t>
      </w:r>
      <w:r w:rsidRPr="00957B06">
        <w:rPr>
          <w:spacing w:val="-3"/>
          <w:sz w:val="16"/>
        </w:rPr>
        <w:t xml:space="preserve"> </w:t>
      </w:r>
      <w:r w:rsidRPr="00957B06">
        <w:rPr>
          <w:sz w:val="16"/>
        </w:rPr>
        <w:t>ustaw</w:t>
      </w:r>
      <w:r w:rsidRPr="00957B06">
        <w:rPr>
          <w:spacing w:val="-3"/>
          <w:sz w:val="16"/>
        </w:rPr>
        <w:t xml:space="preserve"> </w:t>
      </w:r>
      <w:r w:rsidRPr="00957B06">
        <w:rPr>
          <w:sz w:val="16"/>
        </w:rPr>
        <w:t>(UD99)</w:t>
      </w:r>
      <w:r w:rsidRPr="00957B06">
        <w:rPr>
          <w:spacing w:val="-2"/>
          <w:sz w:val="16"/>
        </w:rPr>
        <w:t xml:space="preserve"> poprzez</w:t>
      </w:r>
    </w:p>
    <w:p w14:paraId="1CC9170A" w14:textId="77777777" w:rsidR="009C15F8" w:rsidRDefault="00E06656">
      <w:pPr>
        <w:spacing w:before="28"/>
        <w:ind w:left="400"/>
        <w:jc w:val="both"/>
        <w:rPr>
          <w:sz w:val="16"/>
        </w:rPr>
      </w:pPr>
      <w:r w:rsidRPr="00957B06">
        <w:rPr>
          <w:sz w:val="16"/>
        </w:rPr>
        <w:t>włączenie</w:t>
      </w:r>
      <w:r w:rsidRPr="00957B06">
        <w:rPr>
          <w:spacing w:val="-2"/>
          <w:sz w:val="16"/>
        </w:rPr>
        <w:t xml:space="preserve"> </w:t>
      </w:r>
      <w:r w:rsidRPr="00957B06">
        <w:rPr>
          <w:sz w:val="16"/>
        </w:rPr>
        <w:t>propozycji</w:t>
      </w:r>
      <w:r w:rsidRPr="00957B06">
        <w:rPr>
          <w:spacing w:val="-4"/>
          <w:sz w:val="16"/>
        </w:rPr>
        <w:t xml:space="preserve"> </w:t>
      </w:r>
      <w:r w:rsidRPr="00957B06">
        <w:rPr>
          <w:sz w:val="16"/>
        </w:rPr>
        <w:t>zmian</w:t>
      </w:r>
      <w:r w:rsidRPr="00957B06">
        <w:rPr>
          <w:spacing w:val="-3"/>
          <w:sz w:val="16"/>
        </w:rPr>
        <w:t xml:space="preserve"> </w:t>
      </w:r>
      <w:r w:rsidRPr="00957B06">
        <w:rPr>
          <w:sz w:val="16"/>
        </w:rPr>
        <w:t>zawartych</w:t>
      </w:r>
      <w:r w:rsidRPr="00957B06">
        <w:rPr>
          <w:spacing w:val="-2"/>
          <w:sz w:val="16"/>
        </w:rPr>
        <w:t xml:space="preserve"> </w:t>
      </w:r>
      <w:r w:rsidRPr="00957B06">
        <w:rPr>
          <w:sz w:val="16"/>
        </w:rPr>
        <w:t>w</w:t>
      </w:r>
      <w:r w:rsidRPr="00957B06">
        <w:rPr>
          <w:spacing w:val="-4"/>
          <w:sz w:val="16"/>
        </w:rPr>
        <w:t xml:space="preserve"> </w:t>
      </w:r>
      <w:r w:rsidRPr="00957B06">
        <w:rPr>
          <w:sz w:val="16"/>
        </w:rPr>
        <w:t>projekcie</w:t>
      </w:r>
      <w:r w:rsidRPr="00957B06">
        <w:rPr>
          <w:spacing w:val="-1"/>
          <w:sz w:val="16"/>
        </w:rPr>
        <w:t xml:space="preserve"> </w:t>
      </w:r>
      <w:r w:rsidRPr="00957B06">
        <w:rPr>
          <w:sz w:val="16"/>
        </w:rPr>
        <w:t>UD66</w:t>
      </w:r>
      <w:r w:rsidRPr="00957B06">
        <w:rPr>
          <w:spacing w:val="-3"/>
          <w:sz w:val="16"/>
        </w:rPr>
        <w:t xml:space="preserve"> </w:t>
      </w:r>
      <w:r w:rsidRPr="00957B06">
        <w:rPr>
          <w:sz w:val="16"/>
        </w:rPr>
        <w:t>do</w:t>
      </w:r>
      <w:r w:rsidRPr="00957B06">
        <w:rPr>
          <w:spacing w:val="-3"/>
          <w:sz w:val="16"/>
        </w:rPr>
        <w:t xml:space="preserve"> </w:t>
      </w:r>
      <w:r w:rsidRPr="00957B06">
        <w:rPr>
          <w:sz w:val="16"/>
        </w:rPr>
        <w:t>projektu</w:t>
      </w:r>
      <w:r w:rsidRPr="00957B06">
        <w:rPr>
          <w:spacing w:val="-3"/>
          <w:sz w:val="16"/>
        </w:rPr>
        <w:t xml:space="preserve"> </w:t>
      </w:r>
      <w:r w:rsidRPr="00957B06">
        <w:rPr>
          <w:sz w:val="16"/>
        </w:rPr>
        <w:t>UD99</w:t>
      </w:r>
      <w:r w:rsidRPr="00957B06">
        <w:rPr>
          <w:spacing w:val="-3"/>
          <w:sz w:val="16"/>
        </w:rPr>
        <w:t xml:space="preserve"> </w:t>
      </w:r>
      <w:r w:rsidRPr="00957B06">
        <w:rPr>
          <w:sz w:val="16"/>
        </w:rPr>
        <w:t>z</w:t>
      </w:r>
      <w:r w:rsidRPr="00957B06">
        <w:rPr>
          <w:spacing w:val="-3"/>
          <w:sz w:val="16"/>
        </w:rPr>
        <w:t xml:space="preserve"> </w:t>
      </w:r>
      <w:r w:rsidRPr="00957B06">
        <w:rPr>
          <w:sz w:val="16"/>
        </w:rPr>
        <w:t>jednoczesnym</w:t>
      </w:r>
      <w:r w:rsidRPr="00957B06">
        <w:rPr>
          <w:spacing w:val="-3"/>
          <w:sz w:val="16"/>
        </w:rPr>
        <w:t xml:space="preserve"> </w:t>
      </w:r>
      <w:r w:rsidRPr="00957B06">
        <w:rPr>
          <w:sz w:val="16"/>
        </w:rPr>
        <w:t>wycofaniem</w:t>
      </w:r>
      <w:r w:rsidRPr="00957B06">
        <w:rPr>
          <w:spacing w:val="-4"/>
          <w:sz w:val="16"/>
        </w:rPr>
        <w:t xml:space="preserve"> </w:t>
      </w:r>
      <w:r w:rsidRPr="00957B06">
        <w:rPr>
          <w:sz w:val="16"/>
        </w:rPr>
        <w:t>z</w:t>
      </w:r>
      <w:r w:rsidRPr="00957B06">
        <w:rPr>
          <w:spacing w:val="-4"/>
          <w:sz w:val="16"/>
        </w:rPr>
        <w:t xml:space="preserve"> </w:t>
      </w:r>
      <w:r w:rsidRPr="00957B06">
        <w:rPr>
          <w:sz w:val="16"/>
        </w:rPr>
        <w:t>Wykazu</w:t>
      </w:r>
      <w:r w:rsidRPr="00957B06">
        <w:rPr>
          <w:spacing w:val="-3"/>
          <w:sz w:val="16"/>
        </w:rPr>
        <w:t xml:space="preserve"> </w:t>
      </w:r>
      <w:r w:rsidRPr="00957B06">
        <w:rPr>
          <w:sz w:val="16"/>
        </w:rPr>
        <w:t>projektu</w:t>
      </w:r>
      <w:r w:rsidRPr="00957B06">
        <w:rPr>
          <w:spacing w:val="-2"/>
          <w:sz w:val="16"/>
        </w:rPr>
        <w:t xml:space="preserve"> UD66.</w:t>
      </w:r>
    </w:p>
    <w:sectPr w:rsidR="009C15F8">
      <w:pgSz w:w="11910" w:h="16840"/>
      <w:pgMar w:top="520" w:right="300" w:bottom="280" w:left="3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B55E" w14:textId="77777777" w:rsidR="000E7583" w:rsidRDefault="000E7583" w:rsidP="00E06656">
      <w:r>
        <w:separator/>
      </w:r>
    </w:p>
  </w:endnote>
  <w:endnote w:type="continuationSeparator" w:id="0">
    <w:p w14:paraId="689CF323" w14:textId="77777777" w:rsidR="000E7583" w:rsidRDefault="000E7583" w:rsidP="00E0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13D1A" w14:textId="77777777" w:rsidR="000E7583" w:rsidRDefault="000E7583" w:rsidP="00E06656">
      <w:r>
        <w:separator/>
      </w:r>
    </w:p>
  </w:footnote>
  <w:footnote w:type="continuationSeparator" w:id="0">
    <w:p w14:paraId="5C4E626F" w14:textId="77777777" w:rsidR="000E7583" w:rsidRDefault="000E7583" w:rsidP="00E06656">
      <w:r>
        <w:continuationSeparator/>
      </w:r>
    </w:p>
  </w:footnote>
  <w:footnote w:id="1">
    <w:p w14:paraId="18A1675A" w14:textId="77777777" w:rsidR="00C14D56" w:rsidRDefault="00C14D56" w:rsidP="00E06656">
      <w:pPr>
        <w:pStyle w:val="Tekstprzypisudolnego"/>
      </w:pPr>
      <w:r>
        <w:rPr>
          <w:rStyle w:val="Odwoanieprzypisudolnego"/>
        </w:rPr>
        <w:footnoteRef/>
      </w:r>
      <w:r>
        <w:t xml:space="preserve"> </w:t>
      </w:r>
      <w:r w:rsidRPr="00FB1E18">
        <w:t>Zmiany tekstu jednolitego wymienionej ustawy zostały ogłoszone w Dz. U. z 2018 r. poz. 1276, 1496, 1669 i 2245 oraz z 2019 r. poz. 51, 630, 695 i 730.</w:t>
      </w:r>
    </w:p>
  </w:footnote>
  <w:footnote w:id="2">
    <w:p w14:paraId="258E55FB" w14:textId="77777777" w:rsidR="00C14D56" w:rsidRDefault="00C14D56" w:rsidP="00E06656">
      <w:pPr>
        <w:pStyle w:val="Tekstprzypisudolnego"/>
      </w:pPr>
      <w:r>
        <w:rPr>
          <w:rStyle w:val="Odwoanieprzypisudolnego"/>
        </w:rPr>
        <w:footnoteRef/>
      </w:r>
      <w:r>
        <w:t xml:space="preserve"> </w:t>
      </w:r>
      <w:r w:rsidRPr="00FB1E18">
        <w:t>Zmiany tekstu jednolitego wymienionej ustawy zostały ogłoszone w Dz. U. z 2018 r. poz. 2243 i 2354 oraz z 2019 r. poz. 326, 730, 875 i 1074.</w:t>
      </w:r>
    </w:p>
  </w:footnote>
  <w:footnote w:id="3">
    <w:p w14:paraId="1DBAE9E6" w14:textId="77777777" w:rsidR="00C14D56" w:rsidRDefault="00C14D56" w:rsidP="00E06656">
      <w:pPr>
        <w:pStyle w:val="Tekstprzypisudolnego"/>
      </w:pPr>
      <w:r>
        <w:rPr>
          <w:rStyle w:val="Odwoanieprzypisudolnego"/>
        </w:rPr>
        <w:footnoteRef/>
      </w:r>
      <w:r>
        <w:t xml:space="preserve"> </w:t>
      </w:r>
      <w:r w:rsidRPr="003E16D3">
        <w:t>Zmiany tekstu jednolitego wymienionej ustawy zostały ogłoszone w Dz. U. z 2017 r. poz. 1524, z 2018 r. poz. 1115, 1515, 2219 i 2429 oraz z 2019 r. poz. 150, 447 i 730.</w:t>
      </w:r>
    </w:p>
  </w:footnote>
  <w:footnote w:id="4">
    <w:p w14:paraId="280E03E7" w14:textId="77777777" w:rsidR="00C14D56" w:rsidRPr="00EA42BE" w:rsidRDefault="00C14D56" w:rsidP="00785197">
      <w:pPr>
        <w:rPr>
          <w:rFonts w:cs="Calibri"/>
        </w:rPr>
      </w:pPr>
      <w:r w:rsidRPr="00963CA6">
        <w:rPr>
          <w:rFonts w:cs="Calibri"/>
          <w:color w:val="0D0D0D"/>
          <w:sz w:val="20"/>
        </w:rPr>
        <w:footnoteRef/>
      </w:r>
      <w:r w:rsidRPr="00963CA6">
        <w:rPr>
          <w:rFonts w:cs="Calibri"/>
          <w:color w:val="0D0D0D"/>
          <w:sz w:val="20"/>
        </w:rPr>
        <w:t xml:space="preserve"> Pismo GUS GUS-IV1S03.7032.8.2018.1.</w:t>
      </w:r>
    </w:p>
  </w:footnote>
  <w:footnote w:id="5">
    <w:p w14:paraId="1F705F8A" w14:textId="2086ECE8" w:rsidR="00957B06" w:rsidRDefault="00957B06">
      <w:pPr>
        <w:pStyle w:val="Tekstprzypisudolnego"/>
      </w:pPr>
      <w:r>
        <w:rPr>
          <w:rStyle w:val="Odwoanieprzypisudolnego"/>
        </w:rPr>
        <w:footnoteRef/>
      </w:r>
      <w:r>
        <w:t xml:space="preserve"> </w:t>
      </w:r>
      <w:r w:rsidRPr="00957B06">
        <w:t>Dane pochodzą z reprezentacyjnego Badania Aktywności Ekonomicznej Ludności (BAEL), prowadzonego w cyklu kwartalnym metodą obserwacji ciągłej (ruchomy tydzień badania), pozwalającej na zilustrowanie sytuacji na rynku pracy w okresie całego kwartału. Badaniem objęte są osoby w wieku 15-89 lat będące członkami gospodarstw domowych w wylosowanych mieszkaniach. Poza zakresem badania pozostają członkowie gospodarstw domowych przebywający (uwzględniany jest całkowity czas pobytu faktyczny i planowany) 12 miesięcy lub więcej za granicą oraz w gospodarstwach zbiorowych (takich jak: hotele pracownicze, domy studenckie, internaty, domy opieki społecznej, itp.) oraz osoby bezdomne.</w:t>
      </w:r>
    </w:p>
  </w:footnote>
  <w:footnote w:id="6">
    <w:p w14:paraId="2A70CC9D" w14:textId="77777777" w:rsidR="00FE59BC" w:rsidRPr="002151B6" w:rsidRDefault="00FE59BC" w:rsidP="00FE59BC">
      <w:pPr>
        <w:pStyle w:val="NormalnyWeb"/>
        <w:rPr>
          <w:sz w:val="16"/>
          <w:szCs w:val="16"/>
        </w:rPr>
      </w:pPr>
      <w:r>
        <w:rPr>
          <w:rStyle w:val="Odwoanieprzypisudolnego"/>
        </w:rPr>
        <w:footnoteRef/>
      </w:r>
      <w:r>
        <w:t xml:space="preserve"> </w:t>
      </w:r>
      <w:r w:rsidRPr="002151B6">
        <w:rPr>
          <w:sz w:val="16"/>
          <w:szCs w:val="16"/>
        </w:rPr>
        <w:t>Należy zwrócić uwagę na zmianę definicji w BAEL od I kwartału 2021 – pytania o aktywność w badaniu dotyczą osób w wieku 15-89 lat., zmieniła się definicja osoby pracującej, co rzutuje ostatecznie na liczbę osób pracujących, bezrobotnych i biernych zawodowo oraz na wskaźniki.</w:t>
      </w:r>
      <w:r w:rsidRPr="002151B6">
        <w:rPr>
          <w:rStyle w:val="Pogrubienie"/>
          <w:sz w:val="16"/>
          <w:szCs w:val="16"/>
        </w:rPr>
        <w:t> GUS informuje, że dane od I kw. 2021 są nieporównywalne z wcześniejszymi szeregami czasowymi.</w:t>
      </w:r>
    </w:p>
    <w:p w14:paraId="44667C0D" w14:textId="77777777" w:rsidR="00FE59BC" w:rsidRPr="002151B6" w:rsidRDefault="00FE59BC" w:rsidP="00FE59BC">
      <w:pPr>
        <w:pStyle w:val="NormalnyWeb"/>
        <w:rPr>
          <w:sz w:val="16"/>
          <w:szCs w:val="16"/>
        </w:rPr>
      </w:pPr>
      <w:r w:rsidRPr="002151B6">
        <w:rPr>
          <w:sz w:val="16"/>
          <w:szCs w:val="16"/>
        </w:rPr>
        <w:t>Informacja o zmianach w badaniu od 2021 roku została opublikowana na stronie GUS:</w:t>
      </w:r>
      <w:r w:rsidRPr="002151B6">
        <w:rPr>
          <w:sz w:val="16"/>
          <w:szCs w:val="16"/>
        </w:rPr>
        <w:br/>
      </w:r>
      <w:hyperlink r:id="rId1" w:tgtFrame="_blank" w:history="1">
        <w:r w:rsidRPr="002151B6">
          <w:rPr>
            <w:rStyle w:val="Hipercze"/>
            <w:sz w:val="16"/>
            <w:szCs w:val="16"/>
          </w:rPr>
          <w:t>https://stat.gov.pl/obszary-tematyczne/rynek-pracy/pracujacy-bezrobotni-bierni-zawodowo-wg-bael/informacja-glownego-urzedu-statystycznego-na-temat-zmian-wprowadzanych-od-2021-r-w-bael,35,1.html</w:t>
        </w:r>
      </w:hyperlink>
    </w:p>
    <w:p w14:paraId="5F049BD4" w14:textId="2AB1D079" w:rsidR="00FE59BC" w:rsidRDefault="00FE59BC">
      <w:pPr>
        <w:pStyle w:val="Tekstprzypisudolnego"/>
      </w:pPr>
    </w:p>
  </w:footnote>
  <w:footnote w:id="7">
    <w:p w14:paraId="29EA207A" w14:textId="77777777" w:rsidR="00C14D56" w:rsidRDefault="00C14D56" w:rsidP="00E621C3">
      <w:pPr>
        <w:pStyle w:val="Tekstprzypisudolnego"/>
      </w:pPr>
      <w:r>
        <w:rPr>
          <w:rStyle w:val="Odwoanieprzypisudolnego"/>
        </w:rPr>
        <w:footnoteRef/>
      </w:r>
      <w:r>
        <w:t xml:space="preserve"> Badanie realizowało </w:t>
      </w:r>
      <w:r w:rsidRPr="0099606F">
        <w:rPr>
          <w:rFonts w:cs="Calibri"/>
          <w:color w:val="000000"/>
          <w:spacing w:val="-2"/>
        </w:rPr>
        <w:t xml:space="preserve">konsorcjum Fundacja Aktywizacja, Fundacja na rzecz Osób z Niepełnosprawnościami, </w:t>
      </w:r>
      <w:proofErr w:type="spellStart"/>
      <w:r w:rsidRPr="0099606F">
        <w:rPr>
          <w:rFonts w:cs="Calibri"/>
          <w:color w:val="000000"/>
          <w:spacing w:val="-2"/>
        </w:rPr>
        <w:t>Inwestrada</w:t>
      </w:r>
      <w:proofErr w:type="spellEnd"/>
      <w:r w:rsidRPr="0099606F">
        <w:rPr>
          <w:rFonts w:cs="Calibri"/>
          <w:color w:val="000000"/>
          <w:spacing w:val="-2"/>
        </w:rPr>
        <w:t xml:space="preserve"> sp. z o.o., Panią Agatą </w:t>
      </w:r>
      <w:proofErr w:type="spellStart"/>
      <w:r w:rsidRPr="0099606F">
        <w:rPr>
          <w:rFonts w:cs="Calibri"/>
          <w:color w:val="000000"/>
          <w:spacing w:val="-2"/>
        </w:rPr>
        <w:t>Gawską</w:t>
      </w:r>
      <w:proofErr w:type="spellEnd"/>
      <w:r w:rsidRPr="0099606F">
        <w:rPr>
          <w:rFonts w:cs="Calibri"/>
          <w:color w:val="000000"/>
          <w:spacing w:val="-2"/>
        </w:rPr>
        <w:t xml:space="preserve"> i Sylwią Daniłowską</w:t>
      </w:r>
    </w:p>
    <w:p w14:paraId="6C985CDD" w14:textId="15ECBF77" w:rsidR="00C14D56" w:rsidRDefault="00C14D56">
      <w:pPr>
        <w:pStyle w:val="Tekstprzypisudolnego"/>
      </w:pPr>
    </w:p>
  </w:footnote>
  <w:footnote w:id="8">
    <w:p w14:paraId="48000486" w14:textId="3852EEDC" w:rsidR="00C14D56" w:rsidRDefault="00C14D56">
      <w:pPr>
        <w:pStyle w:val="Tekstprzypisudolnego"/>
      </w:pPr>
      <w:r>
        <w:rPr>
          <w:rStyle w:val="Odwoanieprzypisudolnego"/>
        </w:rPr>
        <w:footnoteRef/>
      </w:r>
      <w:r>
        <w:t xml:space="preserve"> Jw.</w:t>
      </w:r>
    </w:p>
  </w:footnote>
  <w:footnote w:id="9">
    <w:p w14:paraId="2F5374DB" w14:textId="77777777" w:rsidR="00C14D56" w:rsidRDefault="00C14D56" w:rsidP="00332D5B">
      <w:pPr>
        <w:pStyle w:val="Tekstprzypisudolnego"/>
      </w:pPr>
      <w:r>
        <w:rPr>
          <w:rStyle w:val="Odwoanieprzypisudolnego"/>
        </w:rPr>
        <w:footnoteRef/>
      </w:r>
      <w:r>
        <w:t xml:space="preserve"> </w:t>
      </w:r>
      <w:r w:rsidRPr="00DE046D">
        <w:rPr>
          <w:rFonts w:ascii="Times New Roman" w:hAnsi="Times New Roman"/>
          <w:color w:val="000000"/>
          <w:sz w:val="18"/>
        </w:rPr>
        <w:t>Analizy statystyczne, Rynek pracy w 2017 r., Główny Urząd Statystyczny, Warszawa 2019, s. 93 (publikacja dostępna na stronie: https://stat.gov.pl/obszary-tematyczne/rynek-pracy/zasady-metodyczne-rocznik-pracy/rynek-pracy-w-2017-r-,4,1.html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5BF"/>
    <w:multiLevelType w:val="hybridMultilevel"/>
    <w:tmpl w:val="294E0A5C"/>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03C22FB"/>
    <w:multiLevelType w:val="hybridMultilevel"/>
    <w:tmpl w:val="E5E419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B729AB"/>
    <w:multiLevelType w:val="hybridMultilevel"/>
    <w:tmpl w:val="910C05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307814"/>
    <w:multiLevelType w:val="hybridMultilevel"/>
    <w:tmpl w:val="174E9326"/>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0416E2"/>
    <w:multiLevelType w:val="hybridMultilevel"/>
    <w:tmpl w:val="5A061CCC"/>
    <w:lvl w:ilvl="0" w:tplc="47F4B642">
      <w:start w:val="1"/>
      <w:numFmt w:val="decimal"/>
      <w:lvlText w:val="%1."/>
      <w:lvlJc w:val="left"/>
      <w:pPr>
        <w:ind w:left="786"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F6443A"/>
    <w:multiLevelType w:val="hybridMultilevel"/>
    <w:tmpl w:val="44A6EA2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B323049"/>
    <w:multiLevelType w:val="hybridMultilevel"/>
    <w:tmpl w:val="05A8419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CA56D0"/>
    <w:multiLevelType w:val="hybridMultilevel"/>
    <w:tmpl w:val="6966E5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481147"/>
    <w:multiLevelType w:val="hybridMultilevel"/>
    <w:tmpl w:val="0144F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3275FB"/>
    <w:multiLevelType w:val="hybridMultilevel"/>
    <w:tmpl w:val="6D2EFA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C43115"/>
    <w:multiLevelType w:val="hybridMultilevel"/>
    <w:tmpl w:val="323A366A"/>
    <w:lvl w:ilvl="0" w:tplc="626898DC">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34E5773"/>
    <w:multiLevelType w:val="hybridMultilevel"/>
    <w:tmpl w:val="C554CC7E"/>
    <w:lvl w:ilvl="0" w:tplc="C42441F6">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2" w15:restartNumberingAfterBreak="0">
    <w:nsid w:val="15BE61E6"/>
    <w:multiLevelType w:val="hybridMultilevel"/>
    <w:tmpl w:val="663EC960"/>
    <w:lvl w:ilvl="0" w:tplc="EC5062AC">
      <w:start w:val="1"/>
      <w:numFmt w:val="lowerLetter"/>
      <w:lvlText w:val="%1)"/>
      <w:lvlJc w:val="left"/>
      <w:pPr>
        <w:ind w:left="7458" w:hanging="360"/>
      </w:pPr>
      <w:rPr>
        <w:rFonts w:ascii="Verdana" w:hAnsi="Verdana" w:hint="default"/>
      </w:rPr>
    </w:lvl>
    <w:lvl w:ilvl="1" w:tplc="FFFFFFFF" w:tentative="1">
      <w:start w:val="1"/>
      <w:numFmt w:val="lowerLetter"/>
      <w:lvlText w:val="%2."/>
      <w:lvlJc w:val="left"/>
      <w:pPr>
        <w:ind w:left="8178" w:hanging="360"/>
      </w:pPr>
    </w:lvl>
    <w:lvl w:ilvl="2" w:tplc="FFFFFFFF" w:tentative="1">
      <w:start w:val="1"/>
      <w:numFmt w:val="lowerRoman"/>
      <w:lvlText w:val="%3."/>
      <w:lvlJc w:val="right"/>
      <w:pPr>
        <w:ind w:left="8898" w:hanging="180"/>
      </w:pPr>
    </w:lvl>
    <w:lvl w:ilvl="3" w:tplc="FFFFFFFF" w:tentative="1">
      <w:start w:val="1"/>
      <w:numFmt w:val="decimal"/>
      <w:lvlText w:val="%4."/>
      <w:lvlJc w:val="left"/>
      <w:pPr>
        <w:ind w:left="9618" w:hanging="360"/>
      </w:pPr>
    </w:lvl>
    <w:lvl w:ilvl="4" w:tplc="FFFFFFFF" w:tentative="1">
      <w:start w:val="1"/>
      <w:numFmt w:val="lowerLetter"/>
      <w:lvlText w:val="%5."/>
      <w:lvlJc w:val="left"/>
      <w:pPr>
        <w:ind w:left="10338" w:hanging="360"/>
      </w:pPr>
    </w:lvl>
    <w:lvl w:ilvl="5" w:tplc="FFFFFFFF" w:tentative="1">
      <w:start w:val="1"/>
      <w:numFmt w:val="lowerRoman"/>
      <w:lvlText w:val="%6."/>
      <w:lvlJc w:val="right"/>
      <w:pPr>
        <w:ind w:left="11058" w:hanging="180"/>
      </w:pPr>
    </w:lvl>
    <w:lvl w:ilvl="6" w:tplc="FFFFFFFF" w:tentative="1">
      <w:start w:val="1"/>
      <w:numFmt w:val="decimal"/>
      <w:lvlText w:val="%7."/>
      <w:lvlJc w:val="left"/>
      <w:pPr>
        <w:ind w:left="11778" w:hanging="360"/>
      </w:pPr>
    </w:lvl>
    <w:lvl w:ilvl="7" w:tplc="FFFFFFFF" w:tentative="1">
      <w:start w:val="1"/>
      <w:numFmt w:val="lowerLetter"/>
      <w:lvlText w:val="%8."/>
      <w:lvlJc w:val="left"/>
      <w:pPr>
        <w:ind w:left="12498" w:hanging="360"/>
      </w:pPr>
    </w:lvl>
    <w:lvl w:ilvl="8" w:tplc="FFFFFFFF" w:tentative="1">
      <w:start w:val="1"/>
      <w:numFmt w:val="lowerRoman"/>
      <w:lvlText w:val="%9."/>
      <w:lvlJc w:val="right"/>
      <w:pPr>
        <w:ind w:left="13218" w:hanging="180"/>
      </w:pPr>
    </w:lvl>
  </w:abstractNum>
  <w:abstractNum w:abstractNumId="13" w15:restartNumberingAfterBreak="0">
    <w:nsid w:val="1BC16FC5"/>
    <w:multiLevelType w:val="hybridMultilevel"/>
    <w:tmpl w:val="52C26C50"/>
    <w:lvl w:ilvl="0" w:tplc="9ADA21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7C73E2"/>
    <w:multiLevelType w:val="hybridMultilevel"/>
    <w:tmpl w:val="C840D7D6"/>
    <w:lvl w:ilvl="0" w:tplc="04150001">
      <w:start w:val="1"/>
      <w:numFmt w:val="bullet"/>
      <w:lvlText w:val=""/>
      <w:lvlJc w:val="left"/>
      <w:pPr>
        <w:ind w:left="827" w:hanging="360"/>
      </w:pPr>
      <w:rPr>
        <w:rFonts w:ascii="Symbol" w:hAnsi="Symbol" w:hint="default"/>
      </w:rPr>
    </w:lvl>
    <w:lvl w:ilvl="1" w:tplc="04150003" w:tentative="1">
      <w:start w:val="1"/>
      <w:numFmt w:val="bullet"/>
      <w:lvlText w:val="o"/>
      <w:lvlJc w:val="left"/>
      <w:pPr>
        <w:ind w:left="1547" w:hanging="360"/>
      </w:pPr>
      <w:rPr>
        <w:rFonts w:ascii="Courier New" w:hAnsi="Courier New" w:cs="Courier New" w:hint="default"/>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15" w15:restartNumberingAfterBreak="0">
    <w:nsid w:val="215C6D86"/>
    <w:multiLevelType w:val="hybridMultilevel"/>
    <w:tmpl w:val="E70AE80C"/>
    <w:lvl w:ilvl="0" w:tplc="ABCC36DC">
      <w:numFmt w:val="bullet"/>
      <w:lvlText w:val="-"/>
      <w:lvlJc w:val="left"/>
      <w:pPr>
        <w:ind w:left="108" w:hanging="415"/>
      </w:pPr>
      <w:rPr>
        <w:rFonts w:ascii="Times New Roman" w:eastAsia="Times New Roman" w:hAnsi="Times New Roman" w:cs="Times New Roman" w:hint="default"/>
        <w:b w:val="0"/>
        <w:bCs w:val="0"/>
        <w:i w:val="0"/>
        <w:iCs w:val="0"/>
        <w:spacing w:val="0"/>
        <w:w w:val="100"/>
        <w:sz w:val="22"/>
        <w:szCs w:val="22"/>
        <w:lang w:val="pl-PL" w:eastAsia="en-US" w:bidi="ar-SA"/>
      </w:rPr>
    </w:lvl>
    <w:lvl w:ilvl="1" w:tplc="FD8ED7F0">
      <w:numFmt w:val="bullet"/>
      <w:lvlText w:val="•"/>
      <w:lvlJc w:val="left"/>
      <w:pPr>
        <w:ind w:left="457" w:hanging="415"/>
      </w:pPr>
      <w:rPr>
        <w:rFonts w:hint="default"/>
        <w:lang w:val="pl-PL" w:eastAsia="en-US" w:bidi="ar-SA"/>
      </w:rPr>
    </w:lvl>
    <w:lvl w:ilvl="2" w:tplc="B224B4B4">
      <w:numFmt w:val="bullet"/>
      <w:lvlText w:val="•"/>
      <w:lvlJc w:val="left"/>
      <w:pPr>
        <w:ind w:left="815" w:hanging="415"/>
      </w:pPr>
      <w:rPr>
        <w:rFonts w:hint="default"/>
        <w:lang w:val="pl-PL" w:eastAsia="en-US" w:bidi="ar-SA"/>
      </w:rPr>
    </w:lvl>
    <w:lvl w:ilvl="3" w:tplc="FA927F90">
      <w:numFmt w:val="bullet"/>
      <w:lvlText w:val="•"/>
      <w:lvlJc w:val="left"/>
      <w:pPr>
        <w:ind w:left="1172" w:hanging="415"/>
      </w:pPr>
      <w:rPr>
        <w:rFonts w:hint="default"/>
        <w:lang w:val="pl-PL" w:eastAsia="en-US" w:bidi="ar-SA"/>
      </w:rPr>
    </w:lvl>
    <w:lvl w:ilvl="4" w:tplc="52D079C8">
      <w:numFmt w:val="bullet"/>
      <w:lvlText w:val="•"/>
      <w:lvlJc w:val="left"/>
      <w:pPr>
        <w:ind w:left="1530" w:hanging="415"/>
      </w:pPr>
      <w:rPr>
        <w:rFonts w:hint="default"/>
        <w:lang w:val="pl-PL" w:eastAsia="en-US" w:bidi="ar-SA"/>
      </w:rPr>
    </w:lvl>
    <w:lvl w:ilvl="5" w:tplc="56927156">
      <w:numFmt w:val="bullet"/>
      <w:lvlText w:val="•"/>
      <w:lvlJc w:val="left"/>
      <w:pPr>
        <w:ind w:left="1888" w:hanging="415"/>
      </w:pPr>
      <w:rPr>
        <w:rFonts w:hint="default"/>
        <w:lang w:val="pl-PL" w:eastAsia="en-US" w:bidi="ar-SA"/>
      </w:rPr>
    </w:lvl>
    <w:lvl w:ilvl="6" w:tplc="8E4A3230">
      <w:numFmt w:val="bullet"/>
      <w:lvlText w:val="•"/>
      <w:lvlJc w:val="left"/>
      <w:pPr>
        <w:ind w:left="2245" w:hanging="415"/>
      </w:pPr>
      <w:rPr>
        <w:rFonts w:hint="default"/>
        <w:lang w:val="pl-PL" w:eastAsia="en-US" w:bidi="ar-SA"/>
      </w:rPr>
    </w:lvl>
    <w:lvl w:ilvl="7" w:tplc="B516A6A4">
      <w:numFmt w:val="bullet"/>
      <w:lvlText w:val="•"/>
      <w:lvlJc w:val="left"/>
      <w:pPr>
        <w:ind w:left="2603" w:hanging="415"/>
      </w:pPr>
      <w:rPr>
        <w:rFonts w:hint="default"/>
        <w:lang w:val="pl-PL" w:eastAsia="en-US" w:bidi="ar-SA"/>
      </w:rPr>
    </w:lvl>
    <w:lvl w:ilvl="8" w:tplc="587C0804">
      <w:numFmt w:val="bullet"/>
      <w:lvlText w:val="•"/>
      <w:lvlJc w:val="left"/>
      <w:pPr>
        <w:ind w:left="2960" w:hanging="415"/>
      </w:pPr>
      <w:rPr>
        <w:rFonts w:hint="default"/>
        <w:lang w:val="pl-PL" w:eastAsia="en-US" w:bidi="ar-SA"/>
      </w:rPr>
    </w:lvl>
  </w:abstractNum>
  <w:abstractNum w:abstractNumId="16" w15:restartNumberingAfterBreak="0">
    <w:nsid w:val="28267003"/>
    <w:multiLevelType w:val="hybridMultilevel"/>
    <w:tmpl w:val="F5068F02"/>
    <w:lvl w:ilvl="0" w:tplc="626898DC">
      <w:start w:val="1"/>
      <w:numFmt w:val="bullet"/>
      <w:lvlText w:val="•"/>
      <w:lvlJc w:val="left"/>
      <w:pPr>
        <w:tabs>
          <w:tab w:val="num" w:pos="720"/>
        </w:tabs>
        <w:ind w:left="720" w:hanging="360"/>
      </w:pPr>
      <w:rPr>
        <w:rFonts w:ascii="Arial" w:hAnsi="Arial" w:hint="default"/>
      </w:rPr>
    </w:lvl>
    <w:lvl w:ilvl="1" w:tplc="9CE8108A" w:tentative="1">
      <w:start w:val="1"/>
      <w:numFmt w:val="bullet"/>
      <w:lvlText w:val="•"/>
      <w:lvlJc w:val="left"/>
      <w:pPr>
        <w:tabs>
          <w:tab w:val="num" w:pos="1440"/>
        </w:tabs>
        <w:ind w:left="1440" w:hanging="360"/>
      </w:pPr>
      <w:rPr>
        <w:rFonts w:ascii="Arial" w:hAnsi="Arial" w:hint="default"/>
      </w:rPr>
    </w:lvl>
    <w:lvl w:ilvl="2" w:tplc="CFAC7FD8" w:tentative="1">
      <w:start w:val="1"/>
      <w:numFmt w:val="bullet"/>
      <w:lvlText w:val="•"/>
      <w:lvlJc w:val="left"/>
      <w:pPr>
        <w:tabs>
          <w:tab w:val="num" w:pos="2160"/>
        </w:tabs>
        <w:ind w:left="2160" w:hanging="360"/>
      </w:pPr>
      <w:rPr>
        <w:rFonts w:ascii="Arial" w:hAnsi="Arial" w:hint="default"/>
      </w:rPr>
    </w:lvl>
    <w:lvl w:ilvl="3" w:tplc="0CDEE3B8" w:tentative="1">
      <w:start w:val="1"/>
      <w:numFmt w:val="bullet"/>
      <w:lvlText w:val="•"/>
      <w:lvlJc w:val="left"/>
      <w:pPr>
        <w:tabs>
          <w:tab w:val="num" w:pos="2880"/>
        </w:tabs>
        <w:ind w:left="2880" w:hanging="360"/>
      </w:pPr>
      <w:rPr>
        <w:rFonts w:ascii="Arial" w:hAnsi="Arial" w:hint="default"/>
      </w:rPr>
    </w:lvl>
    <w:lvl w:ilvl="4" w:tplc="BED8E5D2" w:tentative="1">
      <w:start w:val="1"/>
      <w:numFmt w:val="bullet"/>
      <w:lvlText w:val="•"/>
      <w:lvlJc w:val="left"/>
      <w:pPr>
        <w:tabs>
          <w:tab w:val="num" w:pos="3600"/>
        </w:tabs>
        <w:ind w:left="3600" w:hanging="360"/>
      </w:pPr>
      <w:rPr>
        <w:rFonts w:ascii="Arial" w:hAnsi="Arial" w:hint="default"/>
      </w:rPr>
    </w:lvl>
    <w:lvl w:ilvl="5" w:tplc="321E2906" w:tentative="1">
      <w:start w:val="1"/>
      <w:numFmt w:val="bullet"/>
      <w:lvlText w:val="•"/>
      <w:lvlJc w:val="left"/>
      <w:pPr>
        <w:tabs>
          <w:tab w:val="num" w:pos="4320"/>
        </w:tabs>
        <w:ind w:left="4320" w:hanging="360"/>
      </w:pPr>
      <w:rPr>
        <w:rFonts w:ascii="Arial" w:hAnsi="Arial" w:hint="default"/>
      </w:rPr>
    </w:lvl>
    <w:lvl w:ilvl="6" w:tplc="4EAC7E06" w:tentative="1">
      <w:start w:val="1"/>
      <w:numFmt w:val="bullet"/>
      <w:lvlText w:val="•"/>
      <w:lvlJc w:val="left"/>
      <w:pPr>
        <w:tabs>
          <w:tab w:val="num" w:pos="5040"/>
        </w:tabs>
        <w:ind w:left="5040" w:hanging="360"/>
      </w:pPr>
      <w:rPr>
        <w:rFonts w:ascii="Arial" w:hAnsi="Arial" w:hint="default"/>
      </w:rPr>
    </w:lvl>
    <w:lvl w:ilvl="7" w:tplc="32EA989E" w:tentative="1">
      <w:start w:val="1"/>
      <w:numFmt w:val="bullet"/>
      <w:lvlText w:val="•"/>
      <w:lvlJc w:val="left"/>
      <w:pPr>
        <w:tabs>
          <w:tab w:val="num" w:pos="5760"/>
        </w:tabs>
        <w:ind w:left="5760" w:hanging="360"/>
      </w:pPr>
      <w:rPr>
        <w:rFonts w:ascii="Arial" w:hAnsi="Arial" w:hint="default"/>
      </w:rPr>
    </w:lvl>
    <w:lvl w:ilvl="8" w:tplc="49A25F4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6B5076"/>
    <w:multiLevelType w:val="hybridMultilevel"/>
    <w:tmpl w:val="BF7ECC90"/>
    <w:lvl w:ilvl="0" w:tplc="04150001">
      <w:start w:val="8"/>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DB3539"/>
    <w:multiLevelType w:val="hybridMultilevel"/>
    <w:tmpl w:val="B2F25D32"/>
    <w:lvl w:ilvl="0" w:tplc="FFFFFFFF">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2EE95B8A"/>
    <w:multiLevelType w:val="hybridMultilevel"/>
    <w:tmpl w:val="10BE92C2"/>
    <w:lvl w:ilvl="0" w:tplc="956A71B0">
      <w:start w:val="1"/>
      <w:numFmt w:val="bullet"/>
      <w:lvlText w:val=""/>
      <w:lvlJc w:val="left"/>
      <w:pPr>
        <w:ind w:left="467" w:hanging="360"/>
      </w:pPr>
      <w:rPr>
        <w:rFonts w:ascii="Symbol" w:hAnsi="Symbol" w:hint="default"/>
      </w:rPr>
    </w:lvl>
    <w:lvl w:ilvl="1" w:tplc="04150003" w:tentative="1">
      <w:start w:val="1"/>
      <w:numFmt w:val="bullet"/>
      <w:lvlText w:val="o"/>
      <w:lvlJc w:val="left"/>
      <w:pPr>
        <w:ind w:left="1187" w:hanging="360"/>
      </w:pPr>
      <w:rPr>
        <w:rFonts w:ascii="Courier New" w:hAnsi="Courier New" w:cs="Courier New" w:hint="default"/>
      </w:rPr>
    </w:lvl>
    <w:lvl w:ilvl="2" w:tplc="04150005" w:tentative="1">
      <w:start w:val="1"/>
      <w:numFmt w:val="bullet"/>
      <w:lvlText w:val=""/>
      <w:lvlJc w:val="left"/>
      <w:pPr>
        <w:ind w:left="1907" w:hanging="360"/>
      </w:pPr>
      <w:rPr>
        <w:rFonts w:ascii="Wingdings" w:hAnsi="Wingdings" w:hint="default"/>
      </w:rPr>
    </w:lvl>
    <w:lvl w:ilvl="3" w:tplc="04150001" w:tentative="1">
      <w:start w:val="1"/>
      <w:numFmt w:val="bullet"/>
      <w:lvlText w:val=""/>
      <w:lvlJc w:val="left"/>
      <w:pPr>
        <w:ind w:left="2627" w:hanging="360"/>
      </w:pPr>
      <w:rPr>
        <w:rFonts w:ascii="Symbol" w:hAnsi="Symbol" w:hint="default"/>
      </w:rPr>
    </w:lvl>
    <w:lvl w:ilvl="4" w:tplc="04150003" w:tentative="1">
      <w:start w:val="1"/>
      <w:numFmt w:val="bullet"/>
      <w:lvlText w:val="o"/>
      <w:lvlJc w:val="left"/>
      <w:pPr>
        <w:ind w:left="3347" w:hanging="360"/>
      </w:pPr>
      <w:rPr>
        <w:rFonts w:ascii="Courier New" w:hAnsi="Courier New" w:cs="Courier New" w:hint="default"/>
      </w:rPr>
    </w:lvl>
    <w:lvl w:ilvl="5" w:tplc="04150005" w:tentative="1">
      <w:start w:val="1"/>
      <w:numFmt w:val="bullet"/>
      <w:lvlText w:val=""/>
      <w:lvlJc w:val="left"/>
      <w:pPr>
        <w:ind w:left="4067" w:hanging="360"/>
      </w:pPr>
      <w:rPr>
        <w:rFonts w:ascii="Wingdings" w:hAnsi="Wingdings" w:hint="default"/>
      </w:rPr>
    </w:lvl>
    <w:lvl w:ilvl="6" w:tplc="04150001" w:tentative="1">
      <w:start w:val="1"/>
      <w:numFmt w:val="bullet"/>
      <w:lvlText w:val=""/>
      <w:lvlJc w:val="left"/>
      <w:pPr>
        <w:ind w:left="4787" w:hanging="360"/>
      </w:pPr>
      <w:rPr>
        <w:rFonts w:ascii="Symbol" w:hAnsi="Symbol" w:hint="default"/>
      </w:rPr>
    </w:lvl>
    <w:lvl w:ilvl="7" w:tplc="04150003" w:tentative="1">
      <w:start w:val="1"/>
      <w:numFmt w:val="bullet"/>
      <w:lvlText w:val="o"/>
      <w:lvlJc w:val="left"/>
      <w:pPr>
        <w:ind w:left="5507" w:hanging="360"/>
      </w:pPr>
      <w:rPr>
        <w:rFonts w:ascii="Courier New" w:hAnsi="Courier New" w:cs="Courier New" w:hint="default"/>
      </w:rPr>
    </w:lvl>
    <w:lvl w:ilvl="8" w:tplc="04150005" w:tentative="1">
      <w:start w:val="1"/>
      <w:numFmt w:val="bullet"/>
      <w:lvlText w:val=""/>
      <w:lvlJc w:val="left"/>
      <w:pPr>
        <w:ind w:left="6227" w:hanging="360"/>
      </w:pPr>
      <w:rPr>
        <w:rFonts w:ascii="Wingdings" w:hAnsi="Wingdings" w:hint="default"/>
      </w:rPr>
    </w:lvl>
  </w:abstractNum>
  <w:abstractNum w:abstractNumId="20" w15:restartNumberingAfterBreak="0">
    <w:nsid w:val="2F172FD9"/>
    <w:multiLevelType w:val="hybridMultilevel"/>
    <w:tmpl w:val="E4FC2046"/>
    <w:lvl w:ilvl="0" w:tplc="E2BCE60C">
      <w:start w:val="10"/>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1" w15:restartNumberingAfterBreak="0">
    <w:nsid w:val="30417037"/>
    <w:multiLevelType w:val="hybridMultilevel"/>
    <w:tmpl w:val="787E0EF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30CE18C6"/>
    <w:multiLevelType w:val="hybridMultilevel"/>
    <w:tmpl w:val="4EE883CA"/>
    <w:lvl w:ilvl="0" w:tplc="6292D86C">
      <w:start w:val="1"/>
      <w:numFmt w:val="bullet"/>
      <w:lvlText w:val="•"/>
      <w:lvlJc w:val="left"/>
      <w:pPr>
        <w:tabs>
          <w:tab w:val="num" w:pos="720"/>
        </w:tabs>
        <w:ind w:left="720" w:hanging="360"/>
      </w:pPr>
      <w:rPr>
        <w:rFonts w:ascii="Arial" w:hAnsi="Arial" w:hint="default"/>
      </w:rPr>
    </w:lvl>
    <w:lvl w:ilvl="1" w:tplc="2464568A" w:tentative="1">
      <w:start w:val="1"/>
      <w:numFmt w:val="bullet"/>
      <w:lvlText w:val="•"/>
      <w:lvlJc w:val="left"/>
      <w:pPr>
        <w:tabs>
          <w:tab w:val="num" w:pos="1440"/>
        </w:tabs>
        <w:ind w:left="1440" w:hanging="360"/>
      </w:pPr>
      <w:rPr>
        <w:rFonts w:ascii="Arial" w:hAnsi="Arial" w:hint="default"/>
      </w:rPr>
    </w:lvl>
    <w:lvl w:ilvl="2" w:tplc="44A60A90" w:tentative="1">
      <w:start w:val="1"/>
      <w:numFmt w:val="bullet"/>
      <w:lvlText w:val="•"/>
      <w:lvlJc w:val="left"/>
      <w:pPr>
        <w:tabs>
          <w:tab w:val="num" w:pos="2160"/>
        </w:tabs>
        <w:ind w:left="2160" w:hanging="360"/>
      </w:pPr>
      <w:rPr>
        <w:rFonts w:ascii="Arial" w:hAnsi="Arial" w:hint="default"/>
      </w:rPr>
    </w:lvl>
    <w:lvl w:ilvl="3" w:tplc="A8A6756C" w:tentative="1">
      <w:start w:val="1"/>
      <w:numFmt w:val="bullet"/>
      <w:lvlText w:val="•"/>
      <w:lvlJc w:val="left"/>
      <w:pPr>
        <w:tabs>
          <w:tab w:val="num" w:pos="2880"/>
        </w:tabs>
        <w:ind w:left="2880" w:hanging="360"/>
      </w:pPr>
      <w:rPr>
        <w:rFonts w:ascii="Arial" w:hAnsi="Arial" w:hint="default"/>
      </w:rPr>
    </w:lvl>
    <w:lvl w:ilvl="4" w:tplc="14DCB966" w:tentative="1">
      <w:start w:val="1"/>
      <w:numFmt w:val="bullet"/>
      <w:lvlText w:val="•"/>
      <w:lvlJc w:val="left"/>
      <w:pPr>
        <w:tabs>
          <w:tab w:val="num" w:pos="3600"/>
        </w:tabs>
        <w:ind w:left="3600" w:hanging="360"/>
      </w:pPr>
      <w:rPr>
        <w:rFonts w:ascii="Arial" w:hAnsi="Arial" w:hint="default"/>
      </w:rPr>
    </w:lvl>
    <w:lvl w:ilvl="5" w:tplc="F3D4C762" w:tentative="1">
      <w:start w:val="1"/>
      <w:numFmt w:val="bullet"/>
      <w:lvlText w:val="•"/>
      <w:lvlJc w:val="left"/>
      <w:pPr>
        <w:tabs>
          <w:tab w:val="num" w:pos="4320"/>
        </w:tabs>
        <w:ind w:left="4320" w:hanging="360"/>
      </w:pPr>
      <w:rPr>
        <w:rFonts w:ascii="Arial" w:hAnsi="Arial" w:hint="default"/>
      </w:rPr>
    </w:lvl>
    <w:lvl w:ilvl="6" w:tplc="AD9A5E86" w:tentative="1">
      <w:start w:val="1"/>
      <w:numFmt w:val="bullet"/>
      <w:lvlText w:val="•"/>
      <w:lvlJc w:val="left"/>
      <w:pPr>
        <w:tabs>
          <w:tab w:val="num" w:pos="5040"/>
        </w:tabs>
        <w:ind w:left="5040" w:hanging="360"/>
      </w:pPr>
      <w:rPr>
        <w:rFonts w:ascii="Arial" w:hAnsi="Arial" w:hint="default"/>
      </w:rPr>
    </w:lvl>
    <w:lvl w:ilvl="7" w:tplc="D390E580" w:tentative="1">
      <w:start w:val="1"/>
      <w:numFmt w:val="bullet"/>
      <w:lvlText w:val="•"/>
      <w:lvlJc w:val="left"/>
      <w:pPr>
        <w:tabs>
          <w:tab w:val="num" w:pos="5760"/>
        </w:tabs>
        <w:ind w:left="5760" w:hanging="360"/>
      </w:pPr>
      <w:rPr>
        <w:rFonts w:ascii="Arial" w:hAnsi="Arial" w:hint="default"/>
      </w:rPr>
    </w:lvl>
    <w:lvl w:ilvl="8" w:tplc="1D20CD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4F2613E"/>
    <w:multiLevelType w:val="hybridMultilevel"/>
    <w:tmpl w:val="C020F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62C62C8"/>
    <w:multiLevelType w:val="hybridMultilevel"/>
    <w:tmpl w:val="9EA6CB50"/>
    <w:lvl w:ilvl="0" w:tplc="4C14175E">
      <w:numFmt w:val="bullet"/>
      <w:lvlText w:val="-"/>
      <w:lvlJc w:val="left"/>
      <w:pPr>
        <w:ind w:left="236" w:hanging="129"/>
      </w:pPr>
      <w:rPr>
        <w:rFonts w:ascii="Times New Roman" w:eastAsia="Times New Roman" w:hAnsi="Times New Roman" w:cs="Times New Roman" w:hint="default"/>
        <w:b w:val="0"/>
        <w:bCs w:val="0"/>
        <w:i w:val="0"/>
        <w:iCs w:val="0"/>
        <w:spacing w:val="0"/>
        <w:w w:val="100"/>
        <w:sz w:val="22"/>
        <w:szCs w:val="22"/>
        <w:lang w:val="pl-PL" w:eastAsia="en-US" w:bidi="ar-SA"/>
      </w:rPr>
    </w:lvl>
    <w:lvl w:ilvl="1" w:tplc="D20E0148">
      <w:numFmt w:val="bullet"/>
      <w:lvlText w:val="•"/>
      <w:lvlJc w:val="left"/>
      <w:pPr>
        <w:ind w:left="583" w:hanging="129"/>
      </w:pPr>
      <w:rPr>
        <w:rFonts w:hint="default"/>
        <w:lang w:val="pl-PL" w:eastAsia="en-US" w:bidi="ar-SA"/>
      </w:rPr>
    </w:lvl>
    <w:lvl w:ilvl="2" w:tplc="73B8F546">
      <w:numFmt w:val="bullet"/>
      <w:lvlText w:val="•"/>
      <w:lvlJc w:val="left"/>
      <w:pPr>
        <w:ind w:left="927" w:hanging="129"/>
      </w:pPr>
      <w:rPr>
        <w:rFonts w:hint="default"/>
        <w:lang w:val="pl-PL" w:eastAsia="en-US" w:bidi="ar-SA"/>
      </w:rPr>
    </w:lvl>
    <w:lvl w:ilvl="3" w:tplc="2F08BE90">
      <w:numFmt w:val="bullet"/>
      <w:lvlText w:val="•"/>
      <w:lvlJc w:val="left"/>
      <w:pPr>
        <w:ind w:left="1270" w:hanging="129"/>
      </w:pPr>
      <w:rPr>
        <w:rFonts w:hint="default"/>
        <w:lang w:val="pl-PL" w:eastAsia="en-US" w:bidi="ar-SA"/>
      </w:rPr>
    </w:lvl>
    <w:lvl w:ilvl="4" w:tplc="4DD0AA46">
      <w:numFmt w:val="bullet"/>
      <w:lvlText w:val="•"/>
      <w:lvlJc w:val="left"/>
      <w:pPr>
        <w:ind w:left="1614" w:hanging="129"/>
      </w:pPr>
      <w:rPr>
        <w:rFonts w:hint="default"/>
        <w:lang w:val="pl-PL" w:eastAsia="en-US" w:bidi="ar-SA"/>
      </w:rPr>
    </w:lvl>
    <w:lvl w:ilvl="5" w:tplc="E84C729C">
      <w:numFmt w:val="bullet"/>
      <w:lvlText w:val="•"/>
      <w:lvlJc w:val="left"/>
      <w:pPr>
        <w:ind w:left="1958" w:hanging="129"/>
      </w:pPr>
      <w:rPr>
        <w:rFonts w:hint="default"/>
        <w:lang w:val="pl-PL" w:eastAsia="en-US" w:bidi="ar-SA"/>
      </w:rPr>
    </w:lvl>
    <w:lvl w:ilvl="6" w:tplc="428672BA">
      <w:numFmt w:val="bullet"/>
      <w:lvlText w:val="•"/>
      <w:lvlJc w:val="left"/>
      <w:pPr>
        <w:ind w:left="2301" w:hanging="129"/>
      </w:pPr>
      <w:rPr>
        <w:rFonts w:hint="default"/>
        <w:lang w:val="pl-PL" w:eastAsia="en-US" w:bidi="ar-SA"/>
      </w:rPr>
    </w:lvl>
    <w:lvl w:ilvl="7" w:tplc="ADE602E4">
      <w:numFmt w:val="bullet"/>
      <w:lvlText w:val="•"/>
      <w:lvlJc w:val="left"/>
      <w:pPr>
        <w:ind w:left="2645" w:hanging="129"/>
      </w:pPr>
      <w:rPr>
        <w:rFonts w:hint="default"/>
        <w:lang w:val="pl-PL" w:eastAsia="en-US" w:bidi="ar-SA"/>
      </w:rPr>
    </w:lvl>
    <w:lvl w:ilvl="8" w:tplc="5C6E5696">
      <w:numFmt w:val="bullet"/>
      <w:lvlText w:val="•"/>
      <w:lvlJc w:val="left"/>
      <w:pPr>
        <w:ind w:left="2988" w:hanging="129"/>
      </w:pPr>
      <w:rPr>
        <w:rFonts w:hint="default"/>
        <w:lang w:val="pl-PL" w:eastAsia="en-US" w:bidi="ar-SA"/>
      </w:rPr>
    </w:lvl>
  </w:abstractNum>
  <w:abstractNum w:abstractNumId="25" w15:restartNumberingAfterBreak="0">
    <w:nsid w:val="36A23421"/>
    <w:multiLevelType w:val="hybridMultilevel"/>
    <w:tmpl w:val="B92AF2A6"/>
    <w:lvl w:ilvl="0" w:tplc="B3EAC3CA">
      <w:start w:val="1"/>
      <w:numFmt w:val="decimal"/>
      <w:lvlText w:val="%1."/>
      <w:lvlJc w:val="left"/>
      <w:pPr>
        <w:ind w:left="467" w:hanging="360"/>
      </w:pPr>
      <w:rPr>
        <w:rFonts w:hint="default"/>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abstractNum w:abstractNumId="26" w15:restartNumberingAfterBreak="0">
    <w:nsid w:val="39762846"/>
    <w:multiLevelType w:val="hybridMultilevel"/>
    <w:tmpl w:val="910C05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C949EA"/>
    <w:multiLevelType w:val="hybridMultilevel"/>
    <w:tmpl w:val="19EE4868"/>
    <w:lvl w:ilvl="0" w:tplc="24FE7E4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440D5C49"/>
    <w:multiLevelType w:val="hybridMultilevel"/>
    <w:tmpl w:val="69986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C540301"/>
    <w:multiLevelType w:val="hybridMultilevel"/>
    <w:tmpl w:val="0450CB44"/>
    <w:lvl w:ilvl="0" w:tplc="93D4BFBC">
      <w:start w:val="6"/>
      <w:numFmt w:val="decimal"/>
      <w:lvlText w:val="%1."/>
      <w:lvlJc w:val="left"/>
      <w:pPr>
        <w:ind w:left="468" w:hanging="360"/>
      </w:pPr>
      <w:rPr>
        <w:rFonts w:hint="default"/>
      </w:rPr>
    </w:lvl>
    <w:lvl w:ilvl="1" w:tplc="04150019">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30" w15:restartNumberingAfterBreak="0">
    <w:nsid w:val="4E654BC1"/>
    <w:multiLevelType w:val="hybridMultilevel"/>
    <w:tmpl w:val="7FC2B68C"/>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51C4132D"/>
    <w:multiLevelType w:val="hybridMultilevel"/>
    <w:tmpl w:val="C65EAF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1D074E"/>
    <w:multiLevelType w:val="hybridMultilevel"/>
    <w:tmpl w:val="D6949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4112071"/>
    <w:multiLevelType w:val="hybridMultilevel"/>
    <w:tmpl w:val="B16AD580"/>
    <w:lvl w:ilvl="0" w:tplc="1CF4362A">
      <w:start w:val="7"/>
      <w:numFmt w:val="bullet"/>
      <w:lvlText w:val=""/>
      <w:lvlJc w:val="left"/>
      <w:pPr>
        <w:ind w:left="720" w:hanging="360"/>
      </w:pPr>
      <w:rPr>
        <w:rFonts w:ascii="Symbol" w:eastAsiaTheme="minorHAnsi" w:hAnsi="Symbol" w:cstheme="minorBid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EB2017"/>
    <w:multiLevelType w:val="hybridMultilevel"/>
    <w:tmpl w:val="77CAF6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7752F9B"/>
    <w:multiLevelType w:val="hybridMultilevel"/>
    <w:tmpl w:val="041C0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80C6B62"/>
    <w:multiLevelType w:val="hybridMultilevel"/>
    <w:tmpl w:val="18BE9CFA"/>
    <w:lvl w:ilvl="0" w:tplc="04150001">
      <w:start w:val="1"/>
      <w:numFmt w:val="bullet"/>
      <w:lvlText w:val=""/>
      <w:lvlJc w:val="left"/>
      <w:pPr>
        <w:tabs>
          <w:tab w:val="num" w:pos="2708"/>
        </w:tabs>
        <w:ind w:left="2708" w:hanging="360"/>
      </w:pPr>
      <w:rPr>
        <w:rFonts w:ascii="Symbol" w:hAnsi="Symbol" w:hint="default"/>
      </w:rPr>
    </w:lvl>
    <w:lvl w:ilvl="1" w:tplc="F82C3AA6">
      <w:start w:val="1"/>
      <w:numFmt w:val="bullet"/>
      <w:lvlText w:val="•"/>
      <w:lvlJc w:val="left"/>
      <w:pPr>
        <w:tabs>
          <w:tab w:val="num" w:pos="3428"/>
        </w:tabs>
        <w:ind w:left="3428" w:hanging="360"/>
      </w:pPr>
      <w:rPr>
        <w:rFonts w:ascii="Arial" w:hAnsi="Arial" w:hint="default"/>
      </w:rPr>
    </w:lvl>
    <w:lvl w:ilvl="2" w:tplc="3E4AE902" w:tentative="1">
      <w:start w:val="1"/>
      <w:numFmt w:val="bullet"/>
      <w:lvlText w:val="•"/>
      <w:lvlJc w:val="left"/>
      <w:pPr>
        <w:tabs>
          <w:tab w:val="num" w:pos="4148"/>
        </w:tabs>
        <w:ind w:left="4148" w:hanging="360"/>
      </w:pPr>
      <w:rPr>
        <w:rFonts w:ascii="Arial" w:hAnsi="Arial" w:hint="default"/>
      </w:rPr>
    </w:lvl>
    <w:lvl w:ilvl="3" w:tplc="7C8EE9A8" w:tentative="1">
      <w:start w:val="1"/>
      <w:numFmt w:val="bullet"/>
      <w:lvlText w:val="•"/>
      <w:lvlJc w:val="left"/>
      <w:pPr>
        <w:tabs>
          <w:tab w:val="num" w:pos="4868"/>
        </w:tabs>
        <w:ind w:left="4868" w:hanging="360"/>
      </w:pPr>
      <w:rPr>
        <w:rFonts w:ascii="Arial" w:hAnsi="Arial" w:hint="default"/>
      </w:rPr>
    </w:lvl>
    <w:lvl w:ilvl="4" w:tplc="6AB64C60" w:tentative="1">
      <w:start w:val="1"/>
      <w:numFmt w:val="bullet"/>
      <w:lvlText w:val="•"/>
      <w:lvlJc w:val="left"/>
      <w:pPr>
        <w:tabs>
          <w:tab w:val="num" w:pos="5588"/>
        </w:tabs>
        <w:ind w:left="5588" w:hanging="360"/>
      </w:pPr>
      <w:rPr>
        <w:rFonts w:ascii="Arial" w:hAnsi="Arial" w:hint="default"/>
      </w:rPr>
    </w:lvl>
    <w:lvl w:ilvl="5" w:tplc="6498AC30" w:tentative="1">
      <w:start w:val="1"/>
      <w:numFmt w:val="bullet"/>
      <w:lvlText w:val="•"/>
      <w:lvlJc w:val="left"/>
      <w:pPr>
        <w:tabs>
          <w:tab w:val="num" w:pos="6308"/>
        </w:tabs>
        <w:ind w:left="6308" w:hanging="360"/>
      </w:pPr>
      <w:rPr>
        <w:rFonts w:ascii="Arial" w:hAnsi="Arial" w:hint="default"/>
      </w:rPr>
    </w:lvl>
    <w:lvl w:ilvl="6" w:tplc="1D407DB6" w:tentative="1">
      <w:start w:val="1"/>
      <w:numFmt w:val="bullet"/>
      <w:lvlText w:val="•"/>
      <w:lvlJc w:val="left"/>
      <w:pPr>
        <w:tabs>
          <w:tab w:val="num" w:pos="7028"/>
        </w:tabs>
        <w:ind w:left="7028" w:hanging="360"/>
      </w:pPr>
      <w:rPr>
        <w:rFonts w:ascii="Arial" w:hAnsi="Arial" w:hint="default"/>
      </w:rPr>
    </w:lvl>
    <w:lvl w:ilvl="7" w:tplc="19008EE2" w:tentative="1">
      <w:start w:val="1"/>
      <w:numFmt w:val="bullet"/>
      <w:lvlText w:val="•"/>
      <w:lvlJc w:val="left"/>
      <w:pPr>
        <w:tabs>
          <w:tab w:val="num" w:pos="7748"/>
        </w:tabs>
        <w:ind w:left="7748" w:hanging="360"/>
      </w:pPr>
      <w:rPr>
        <w:rFonts w:ascii="Arial" w:hAnsi="Arial" w:hint="default"/>
      </w:rPr>
    </w:lvl>
    <w:lvl w:ilvl="8" w:tplc="E8CEBA76" w:tentative="1">
      <w:start w:val="1"/>
      <w:numFmt w:val="bullet"/>
      <w:lvlText w:val="•"/>
      <w:lvlJc w:val="left"/>
      <w:pPr>
        <w:tabs>
          <w:tab w:val="num" w:pos="8468"/>
        </w:tabs>
        <w:ind w:left="8468" w:hanging="360"/>
      </w:pPr>
      <w:rPr>
        <w:rFonts w:ascii="Arial" w:hAnsi="Arial" w:hint="default"/>
      </w:rPr>
    </w:lvl>
  </w:abstractNum>
  <w:abstractNum w:abstractNumId="37" w15:restartNumberingAfterBreak="0">
    <w:nsid w:val="68DD3853"/>
    <w:multiLevelType w:val="hybridMultilevel"/>
    <w:tmpl w:val="307456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68E903C1"/>
    <w:multiLevelType w:val="hybridMultilevel"/>
    <w:tmpl w:val="9DEAB746"/>
    <w:lvl w:ilvl="0" w:tplc="04150001">
      <w:start w:val="1"/>
      <w:numFmt w:val="bullet"/>
      <w:lvlText w:val=""/>
      <w:lvlJc w:val="left"/>
      <w:pPr>
        <w:ind w:left="1005" w:hanging="360"/>
      </w:pPr>
      <w:rPr>
        <w:rFonts w:ascii="Symbol" w:hAnsi="Symbol"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1">
      <w:start w:val="1"/>
      <w:numFmt w:val="bullet"/>
      <w:lvlText w:val=""/>
      <w:lvlJc w:val="left"/>
      <w:pPr>
        <w:ind w:left="3165" w:hanging="360"/>
      </w:pPr>
      <w:rPr>
        <w:rFonts w:ascii="Symbol" w:hAnsi="Symbol" w:hint="default"/>
      </w:r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9" w15:restartNumberingAfterBreak="0">
    <w:nsid w:val="68EB3F19"/>
    <w:multiLevelType w:val="hybridMultilevel"/>
    <w:tmpl w:val="C7FEEB2E"/>
    <w:lvl w:ilvl="0" w:tplc="E288333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0126DA"/>
    <w:multiLevelType w:val="hybridMultilevel"/>
    <w:tmpl w:val="45C27B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6E534028"/>
    <w:multiLevelType w:val="multilevel"/>
    <w:tmpl w:val="DCF2B5DE"/>
    <w:lvl w:ilvl="0">
      <w:start w:val="1"/>
      <w:numFmt w:val="decimal"/>
      <w:lvlText w:val="%1."/>
      <w:lvlJc w:val="left"/>
      <w:pPr>
        <w:ind w:left="467" w:hanging="360"/>
      </w:pPr>
      <w:rPr>
        <w:rFonts w:hint="default"/>
      </w:rPr>
    </w:lvl>
    <w:lvl w:ilvl="1">
      <w:start w:val="1"/>
      <w:numFmt w:val="decimal"/>
      <w:lvlText w:val="%2."/>
      <w:lvlJc w:val="left"/>
      <w:pPr>
        <w:ind w:left="467" w:hanging="360"/>
      </w:pPr>
      <w:rPr>
        <w:rFonts w:hint="default"/>
        <w:b w:val="0"/>
        <w:bCs w:val="0"/>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907" w:hanging="1800"/>
      </w:pPr>
      <w:rPr>
        <w:rFonts w:hint="default"/>
      </w:rPr>
    </w:lvl>
  </w:abstractNum>
  <w:abstractNum w:abstractNumId="42" w15:restartNumberingAfterBreak="0">
    <w:nsid w:val="70AE0DD4"/>
    <w:multiLevelType w:val="multilevel"/>
    <w:tmpl w:val="0EAC1E5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790B23"/>
    <w:multiLevelType w:val="hybridMultilevel"/>
    <w:tmpl w:val="96EEAE82"/>
    <w:lvl w:ilvl="0" w:tplc="04150011">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15"/>
  </w:num>
  <w:num w:numId="3">
    <w:abstractNumId w:val="4"/>
  </w:num>
  <w:num w:numId="4">
    <w:abstractNumId w:val="9"/>
  </w:num>
  <w:num w:numId="5">
    <w:abstractNumId w:val="30"/>
  </w:num>
  <w:num w:numId="6">
    <w:abstractNumId w:val="27"/>
  </w:num>
  <w:num w:numId="7">
    <w:abstractNumId w:val="0"/>
  </w:num>
  <w:num w:numId="8">
    <w:abstractNumId w:val="32"/>
  </w:num>
  <w:num w:numId="9">
    <w:abstractNumId w:val="17"/>
  </w:num>
  <w:num w:numId="10">
    <w:abstractNumId w:val="41"/>
  </w:num>
  <w:num w:numId="11">
    <w:abstractNumId w:val="25"/>
  </w:num>
  <w:num w:numId="12">
    <w:abstractNumId w:val="19"/>
  </w:num>
  <w:num w:numId="13">
    <w:abstractNumId w:val="16"/>
  </w:num>
  <w:num w:numId="14">
    <w:abstractNumId w:val="22"/>
  </w:num>
  <w:num w:numId="15">
    <w:abstractNumId w:val="36"/>
  </w:num>
  <w:num w:numId="16">
    <w:abstractNumId w:val="10"/>
  </w:num>
  <w:num w:numId="17">
    <w:abstractNumId w:val="40"/>
  </w:num>
  <w:num w:numId="18">
    <w:abstractNumId w:val="42"/>
  </w:num>
  <w:num w:numId="19">
    <w:abstractNumId w:val="12"/>
  </w:num>
  <w:num w:numId="20">
    <w:abstractNumId w:val="21"/>
  </w:num>
  <w:num w:numId="21">
    <w:abstractNumId w:val="18"/>
  </w:num>
  <w:num w:numId="22">
    <w:abstractNumId w:val="3"/>
  </w:num>
  <w:num w:numId="23">
    <w:abstractNumId w:val="6"/>
  </w:num>
  <w:num w:numId="24">
    <w:abstractNumId w:val="20"/>
  </w:num>
  <w:num w:numId="25">
    <w:abstractNumId w:val="7"/>
  </w:num>
  <w:num w:numId="26">
    <w:abstractNumId w:val="11"/>
  </w:num>
  <w:num w:numId="27">
    <w:abstractNumId w:val="39"/>
  </w:num>
  <w:num w:numId="28">
    <w:abstractNumId w:val="35"/>
  </w:num>
  <w:num w:numId="29">
    <w:abstractNumId w:val="29"/>
  </w:num>
  <w:num w:numId="30">
    <w:abstractNumId w:val="14"/>
  </w:num>
  <w:num w:numId="31">
    <w:abstractNumId w:val="31"/>
  </w:num>
  <w:num w:numId="32">
    <w:abstractNumId w:val="13"/>
  </w:num>
  <w:num w:numId="33">
    <w:abstractNumId w:val="33"/>
  </w:num>
  <w:num w:numId="34">
    <w:abstractNumId w:val="1"/>
  </w:num>
  <w:num w:numId="35">
    <w:abstractNumId w:val="34"/>
  </w:num>
  <w:num w:numId="36">
    <w:abstractNumId w:val="8"/>
  </w:num>
  <w:num w:numId="37">
    <w:abstractNumId w:val="43"/>
  </w:num>
  <w:num w:numId="38">
    <w:abstractNumId w:val="26"/>
  </w:num>
  <w:num w:numId="39">
    <w:abstractNumId w:val="23"/>
  </w:num>
  <w:num w:numId="40">
    <w:abstractNumId w:val="2"/>
  </w:num>
  <w:num w:numId="41">
    <w:abstractNumId w:val="38"/>
  </w:num>
  <w:num w:numId="42">
    <w:abstractNumId w:val="28"/>
  </w:num>
  <w:num w:numId="43">
    <w:abstractNumId w:val="5"/>
  </w:num>
  <w:num w:numId="44">
    <w:abstractNumId w:val="3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man Przemysław">
    <w15:presenceInfo w15:providerId="AD" w15:userId="S::Przemyslaw.Herman@mfipr.gov.pl::7783f506-690a-4886-80c9-3de4c2be8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F8"/>
    <w:rsid w:val="00001377"/>
    <w:rsid w:val="000013FC"/>
    <w:rsid w:val="00002CD1"/>
    <w:rsid w:val="00010F12"/>
    <w:rsid w:val="00013979"/>
    <w:rsid w:val="00015056"/>
    <w:rsid w:val="00017944"/>
    <w:rsid w:val="0002324A"/>
    <w:rsid w:val="0003482F"/>
    <w:rsid w:val="00035B2E"/>
    <w:rsid w:val="000365A1"/>
    <w:rsid w:val="00037C71"/>
    <w:rsid w:val="00043144"/>
    <w:rsid w:val="00046537"/>
    <w:rsid w:val="00047271"/>
    <w:rsid w:val="0005031D"/>
    <w:rsid w:val="000511F3"/>
    <w:rsid w:val="00051729"/>
    <w:rsid w:val="0005208B"/>
    <w:rsid w:val="000547F0"/>
    <w:rsid w:val="00055FD0"/>
    <w:rsid w:val="00057B9C"/>
    <w:rsid w:val="00062E47"/>
    <w:rsid w:val="00064DD5"/>
    <w:rsid w:val="00066419"/>
    <w:rsid w:val="00075EFC"/>
    <w:rsid w:val="00080393"/>
    <w:rsid w:val="00082662"/>
    <w:rsid w:val="00086F12"/>
    <w:rsid w:val="00090406"/>
    <w:rsid w:val="00090F59"/>
    <w:rsid w:val="0009177B"/>
    <w:rsid w:val="00091884"/>
    <w:rsid w:val="00092C93"/>
    <w:rsid w:val="00093CCE"/>
    <w:rsid w:val="00094155"/>
    <w:rsid w:val="00094821"/>
    <w:rsid w:val="00094E8F"/>
    <w:rsid w:val="000950D0"/>
    <w:rsid w:val="000A1734"/>
    <w:rsid w:val="000A32F0"/>
    <w:rsid w:val="000A6593"/>
    <w:rsid w:val="000B461D"/>
    <w:rsid w:val="000B580D"/>
    <w:rsid w:val="000B7412"/>
    <w:rsid w:val="000C616B"/>
    <w:rsid w:val="000E627B"/>
    <w:rsid w:val="000E6405"/>
    <w:rsid w:val="000E6997"/>
    <w:rsid w:val="000E7583"/>
    <w:rsid w:val="000F1D33"/>
    <w:rsid w:val="000F5131"/>
    <w:rsid w:val="000F6DD9"/>
    <w:rsid w:val="00101A09"/>
    <w:rsid w:val="0010239F"/>
    <w:rsid w:val="001055DC"/>
    <w:rsid w:val="00110180"/>
    <w:rsid w:val="0011066D"/>
    <w:rsid w:val="0011096B"/>
    <w:rsid w:val="001109B7"/>
    <w:rsid w:val="00114637"/>
    <w:rsid w:val="0012407B"/>
    <w:rsid w:val="00124E8D"/>
    <w:rsid w:val="00125A87"/>
    <w:rsid w:val="0013239C"/>
    <w:rsid w:val="00133790"/>
    <w:rsid w:val="001455D2"/>
    <w:rsid w:val="00150120"/>
    <w:rsid w:val="00150D66"/>
    <w:rsid w:val="00151DC8"/>
    <w:rsid w:val="00154753"/>
    <w:rsid w:val="00165ADC"/>
    <w:rsid w:val="0017079C"/>
    <w:rsid w:val="00174673"/>
    <w:rsid w:val="0017497F"/>
    <w:rsid w:val="00175EF7"/>
    <w:rsid w:val="0017710C"/>
    <w:rsid w:val="00183570"/>
    <w:rsid w:val="00185404"/>
    <w:rsid w:val="0018733D"/>
    <w:rsid w:val="0019398F"/>
    <w:rsid w:val="001A075B"/>
    <w:rsid w:val="001A278D"/>
    <w:rsid w:val="001A4B7A"/>
    <w:rsid w:val="001A69DA"/>
    <w:rsid w:val="001A7A0B"/>
    <w:rsid w:val="001B0392"/>
    <w:rsid w:val="001B0A01"/>
    <w:rsid w:val="001B0E9D"/>
    <w:rsid w:val="001B1154"/>
    <w:rsid w:val="001B2591"/>
    <w:rsid w:val="001B2F35"/>
    <w:rsid w:val="001B6681"/>
    <w:rsid w:val="001C0ABD"/>
    <w:rsid w:val="001C20BA"/>
    <w:rsid w:val="001C7107"/>
    <w:rsid w:val="001D1602"/>
    <w:rsid w:val="001D27C8"/>
    <w:rsid w:val="001D3715"/>
    <w:rsid w:val="001D5CDD"/>
    <w:rsid w:val="001D72A5"/>
    <w:rsid w:val="001E28CF"/>
    <w:rsid w:val="001E31CD"/>
    <w:rsid w:val="001E5615"/>
    <w:rsid w:val="001E5DC8"/>
    <w:rsid w:val="001E7ED9"/>
    <w:rsid w:val="0020247D"/>
    <w:rsid w:val="0020479F"/>
    <w:rsid w:val="002047BA"/>
    <w:rsid w:val="00204F8B"/>
    <w:rsid w:val="002064A9"/>
    <w:rsid w:val="0021362E"/>
    <w:rsid w:val="002151B6"/>
    <w:rsid w:val="002213D8"/>
    <w:rsid w:val="00221E12"/>
    <w:rsid w:val="00223203"/>
    <w:rsid w:val="002242AA"/>
    <w:rsid w:val="0022506C"/>
    <w:rsid w:val="0022730B"/>
    <w:rsid w:val="00235242"/>
    <w:rsid w:val="00236678"/>
    <w:rsid w:val="00237894"/>
    <w:rsid w:val="00240049"/>
    <w:rsid w:val="00240E51"/>
    <w:rsid w:val="002410D3"/>
    <w:rsid w:val="00241349"/>
    <w:rsid w:val="00244218"/>
    <w:rsid w:val="00245ABA"/>
    <w:rsid w:val="00255A6F"/>
    <w:rsid w:val="0026008F"/>
    <w:rsid w:val="0026216A"/>
    <w:rsid w:val="00262AD8"/>
    <w:rsid w:val="0026342F"/>
    <w:rsid w:val="002634EA"/>
    <w:rsid w:val="00271653"/>
    <w:rsid w:val="00280F38"/>
    <w:rsid w:val="0028513E"/>
    <w:rsid w:val="00297194"/>
    <w:rsid w:val="002A57D2"/>
    <w:rsid w:val="002B0288"/>
    <w:rsid w:val="002B48AE"/>
    <w:rsid w:val="002B50BB"/>
    <w:rsid w:val="002B7346"/>
    <w:rsid w:val="002C1BFA"/>
    <w:rsid w:val="002C3537"/>
    <w:rsid w:val="002C60C7"/>
    <w:rsid w:val="002C7AEB"/>
    <w:rsid w:val="002D0F15"/>
    <w:rsid w:val="002D23F8"/>
    <w:rsid w:val="002D4DBD"/>
    <w:rsid w:val="002E070D"/>
    <w:rsid w:val="002E1683"/>
    <w:rsid w:val="002E424D"/>
    <w:rsid w:val="002F039F"/>
    <w:rsid w:val="002F1031"/>
    <w:rsid w:val="002F2989"/>
    <w:rsid w:val="002F45CB"/>
    <w:rsid w:val="002F4DC0"/>
    <w:rsid w:val="00302E77"/>
    <w:rsid w:val="0030385A"/>
    <w:rsid w:val="00303A8E"/>
    <w:rsid w:val="00304F58"/>
    <w:rsid w:val="003071BB"/>
    <w:rsid w:val="0030773E"/>
    <w:rsid w:val="00312888"/>
    <w:rsid w:val="00312F00"/>
    <w:rsid w:val="0031300E"/>
    <w:rsid w:val="003157BB"/>
    <w:rsid w:val="00320B75"/>
    <w:rsid w:val="0032371E"/>
    <w:rsid w:val="00332D5B"/>
    <w:rsid w:val="00334C65"/>
    <w:rsid w:val="003432D6"/>
    <w:rsid w:val="0034632C"/>
    <w:rsid w:val="0034644C"/>
    <w:rsid w:val="00346F62"/>
    <w:rsid w:val="00350103"/>
    <w:rsid w:val="00350417"/>
    <w:rsid w:val="003529B8"/>
    <w:rsid w:val="00353177"/>
    <w:rsid w:val="00357052"/>
    <w:rsid w:val="0036057B"/>
    <w:rsid w:val="00361D50"/>
    <w:rsid w:val="00373DB3"/>
    <w:rsid w:val="00375E0F"/>
    <w:rsid w:val="00382219"/>
    <w:rsid w:val="003833EC"/>
    <w:rsid w:val="0038701A"/>
    <w:rsid w:val="00387F5F"/>
    <w:rsid w:val="003925A0"/>
    <w:rsid w:val="003932B3"/>
    <w:rsid w:val="00395418"/>
    <w:rsid w:val="00396F28"/>
    <w:rsid w:val="003A136B"/>
    <w:rsid w:val="003A534F"/>
    <w:rsid w:val="003A7E8F"/>
    <w:rsid w:val="003B0237"/>
    <w:rsid w:val="003B1BF8"/>
    <w:rsid w:val="003B7C16"/>
    <w:rsid w:val="003B7EF4"/>
    <w:rsid w:val="003C1C1B"/>
    <w:rsid w:val="003C35BC"/>
    <w:rsid w:val="003C3F42"/>
    <w:rsid w:val="003C5E8F"/>
    <w:rsid w:val="003C7E2B"/>
    <w:rsid w:val="003D0294"/>
    <w:rsid w:val="003D29F2"/>
    <w:rsid w:val="003D325A"/>
    <w:rsid w:val="003E1A61"/>
    <w:rsid w:val="003E3A44"/>
    <w:rsid w:val="003F53A1"/>
    <w:rsid w:val="003F5CE8"/>
    <w:rsid w:val="003F6EC3"/>
    <w:rsid w:val="00403896"/>
    <w:rsid w:val="00405DBC"/>
    <w:rsid w:val="0040607A"/>
    <w:rsid w:val="00412481"/>
    <w:rsid w:val="00412DB3"/>
    <w:rsid w:val="00421E33"/>
    <w:rsid w:val="00421EDF"/>
    <w:rsid w:val="004232B5"/>
    <w:rsid w:val="00431B2B"/>
    <w:rsid w:val="0043358C"/>
    <w:rsid w:val="004358CF"/>
    <w:rsid w:val="00435B9C"/>
    <w:rsid w:val="00437550"/>
    <w:rsid w:val="00453CB3"/>
    <w:rsid w:val="00453FA4"/>
    <w:rsid w:val="00456343"/>
    <w:rsid w:val="004576FB"/>
    <w:rsid w:val="0046462C"/>
    <w:rsid w:val="00466D6B"/>
    <w:rsid w:val="004672E7"/>
    <w:rsid w:val="00467AE0"/>
    <w:rsid w:val="00467BD3"/>
    <w:rsid w:val="00491D1B"/>
    <w:rsid w:val="00496E73"/>
    <w:rsid w:val="00497D2B"/>
    <w:rsid w:val="004A0252"/>
    <w:rsid w:val="004A412E"/>
    <w:rsid w:val="004A6E97"/>
    <w:rsid w:val="004B1557"/>
    <w:rsid w:val="004B170B"/>
    <w:rsid w:val="004B72BA"/>
    <w:rsid w:val="004C3187"/>
    <w:rsid w:val="004C5B0D"/>
    <w:rsid w:val="004D35E8"/>
    <w:rsid w:val="004D7BB1"/>
    <w:rsid w:val="004E1859"/>
    <w:rsid w:val="004E1AC0"/>
    <w:rsid w:val="004E7794"/>
    <w:rsid w:val="004F013E"/>
    <w:rsid w:val="004F213F"/>
    <w:rsid w:val="004F398D"/>
    <w:rsid w:val="00500C6C"/>
    <w:rsid w:val="00500E7D"/>
    <w:rsid w:val="00501C18"/>
    <w:rsid w:val="00504838"/>
    <w:rsid w:val="005067CA"/>
    <w:rsid w:val="00510791"/>
    <w:rsid w:val="005130DF"/>
    <w:rsid w:val="00527E0C"/>
    <w:rsid w:val="00533596"/>
    <w:rsid w:val="005373CF"/>
    <w:rsid w:val="0054124A"/>
    <w:rsid w:val="0054711B"/>
    <w:rsid w:val="00553E41"/>
    <w:rsid w:val="005573DF"/>
    <w:rsid w:val="00561385"/>
    <w:rsid w:val="00564331"/>
    <w:rsid w:val="005644C2"/>
    <w:rsid w:val="00566FAA"/>
    <w:rsid w:val="00571071"/>
    <w:rsid w:val="00571357"/>
    <w:rsid w:val="00571B35"/>
    <w:rsid w:val="00573BE6"/>
    <w:rsid w:val="0057433E"/>
    <w:rsid w:val="00581A93"/>
    <w:rsid w:val="005844E6"/>
    <w:rsid w:val="00584548"/>
    <w:rsid w:val="00592518"/>
    <w:rsid w:val="00592768"/>
    <w:rsid w:val="005978E0"/>
    <w:rsid w:val="00597E52"/>
    <w:rsid w:val="005A12CA"/>
    <w:rsid w:val="005A2A01"/>
    <w:rsid w:val="005C00C8"/>
    <w:rsid w:val="005C1634"/>
    <w:rsid w:val="005C49A4"/>
    <w:rsid w:val="005C7B6D"/>
    <w:rsid w:val="005D0001"/>
    <w:rsid w:val="005D6263"/>
    <w:rsid w:val="005D7798"/>
    <w:rsid w:val="005E5623"/>
    <w:rsid w:val="005E5AE7"/>
    <w:rsid w:val="005F1F6B"/>
    <w:rsid w:val="005F5016"/>
    <w:rsid w:val="00602282"/>
    <w:rsid w:val="00603A4D"/>
    <w:rsid w:val="006069FB"/>
    <w:rsid w:val="00610AA3"/>
    <w:rsid w:val="00616EEA"/>
    <w:rsid w:val="006253C1"/>
    <w:rsid w:val="00625887"/>
    <w:rsid w:val="006278C0"/>
    <w:rsid w:val="00630D39"/>
    <w:rsid w:val="00631BF0"/>
    <w:rsid w:val="006320EB"/>
    <w:rsid w:val="00634B8C"/>
    <w:rsid w:val="00635E63"/>
    <w:rsid w:val="00636A72"/>
    <w:rsid w:val="00646B30"/>
    <w:rsid w:val="00651250"/>
    <w:rsid w:val="00651D6F"/>
    <w:rsid w:val="0065241A"/>
    <w:rsid w:val="006569AD"/>
    <w:rsid w:val="00660046"/>
    <w:rsid w:val="00661D53"/>
    <w:rsid w:val="006743C6"/>
    <w:rsid w:val="00675E9C"/>
    <w:rsid w:val="00680722"/>
    <w:rsid w:val="006809E6"/>
    <w:rsid w:val="00682FF5"/>
    <w:rsid w:val="006833B6"/>
    <w:rsid w:val="00683AE5"/>
    <w:rsid w:val="00683B51"/>
    <w:rsid w:val="00687BC3"/>
    <w:rsid w:val="00693F57"/>
    <w:rsid w:val="006A0AFD"/>
    <w:rsid w:val="006A111B"/>
    <w:rsid w:val="006A133F"/>
    <w:rsid w:val="006A2D5B"/>
    <w:rsid w:val="006A344D"/>
    <w:rsid w:val="006A4663"/>
    <w:rsid w:val="006A7898"/>
    <w:rsid w:val="006B3C7F"/>
    <w:rsid w:val="006C402B"/>
    <w:rsid w:val="006C6076"/>
    <w:rsid w:val="006D026C"/>
    <w:rsid w:val="006D1FA6"/>
    <w:rsid w:val="006D5FB9"/>
    <w:rsid w:val="006D6D9A"/>
    <w:rsid w:val="006E0131"/>
    <w:rsid w:val="006E091A"/>
    <w:rsid w:val="006E318C"/>
    <w:rsid w:val="006E457A"/>
    <w:rsid w:val="006E5E22"/>
    <w:rsid w:val="006E6226"/>
    <w:rsid w:val="006E6309"/>
    <w:rsid w:val="006F3871"/>
    <w:rsid w:val="006F7D74"/>
    <w:rsid w:val="007031A8"/>
    <w:rsid w:val="00704F6F"/>
    <w:rsid w:val="0070615F"/>
    <w:rsid w:val="00722F9F"/>
    <w:rsid w:val="00724AFA"/>
    <w:rsid w:val="00724C5C"/>
    <w:rsid w:val="00724F08"/>
    <w:rsid w:val="00724FE8"/>
    <w:rsid w:val="00726FF3"/>
    <w:rsid w:val="007332F2"/>
    <w:rsid w:val="0073431A"/>
    <w:rsid w:val="00735155"/>
    <w:rsid w:val="007416E5"/>
    <w:rsid w:val="00742878"/>
    <w:rsid w:val="00743783"/>
    <w:rsid w:val="007523AD"/>
    <w:rsid w:val="00756605"/>
    <w:rsid w:val="007569A6"/>
    <w:rsid w:val="00761DAE"/>
    <w:rsid w:val="0076473E"/>
    <w:rsid w:val="00774230"/>
    <w:rsid w:val="00774C27"/>
    <w:rsid w:val="0078197D"/>
    <w:rsid w:val="00785197"/>
    <w:rsid w:val="00787131"/>
    <w:rsid w:val="00787B2E"/>
    <w:rsid w:val="00791257"/>
    <w:rsid w:val="00793651"/>
    <w:rsid w:val="00795886"/>
    <w:rsid w:val="0079742A"/>
    <w:rsid w:val="007979E4"/>
    <w:rsid w:val="007A1D4B"/>
    <w:rsid w:val="007A3134"/>
    <w:rsid w:val="007A36C8"/>
    <w:rsid w:val="007A6BF4"/>
    <w:rsid w:val="007A74BC"/>
    <w:rsid w:val="007A7A17"/>
    <w:rsid w:val="007B20CE"/>
    <w:rsid w:val="007B3D0B"/>
    <w:rsid w:val="007C6C5B"/>
    <w:rsid w:val="007D1EFA"/>
    <w:rsid w:val="007D2BA6"/>
    <w:rsid w:val="007D39F5"/>
    <w:rsid w:val="007D48D2"/>
    <w:rsid w:val="007D4E1E"/>
    <w:rsid w:val="007E4038"/>
    <w:rsid w:val="007E4603"/>
    <w:rsid w:val="007E60AA"/>
    <w:rsid w:val="007E6255"/>
    <w:rsid w:val="007E6DFA"/>
    <w:rsid w:val="007F0209"/>
    <w:rsid w:val="007F2F73"/>
    <w:rsid w:val="007F4800"/>
    <w:rsid w:val="0080656C"/>
    <w:rsid w:val="0080798F"/>
    <w:rsid w:val="00811CE7"/>
    <w:rsid w:val="008129C2"/>
    <w:rsid w:val="00814DAD"/>
    <w:rsid w:val="008152B1"/>
    <w:rsid w:val="00815693"/>
    <w:rsid w:val="00816761"/>
    <w:rsid w:val="008167FF"/>
    <w:rsid w:val="008220B9"/>
    <w:rsid w:val="00827BDD"/>
    <w:rsid w:val="00833658"/>
    <w:rsid w:val="00844260"/>
    <w:rsid w:val="00844E12"/>
    <w:rsid w:val="00847BCC"/>
    <w:rsid w:val="0085168B"/>
    <w:rsid w:val="00851FB0"/>
    <w:rsid w:val="00860F0F"/>
    <w:rsid w:val="00863B3A"/>
    <w:rsid w:val="00865510"/>
    <w:rsid w:val="00867B92"/>
    <w:rsid w:val="008728ED"/>
    <w:rsid w:val="00873372"/>
    <w:rsid w:val="00875C22"/>
    <w:rsid w:val="008763AB"/>
    <w:rsid w:val="0088246F"/>
    <w:rsid w:val="00882D41"/>
    <w:rsid w:val="00884B88"/>
    <w:rsid w:val="00884C80"/>
    <w:rsid w:val="00884F41"/>
    <w:rsid w:val="00885285"/>
    <w:rsid w:val="00887AA7"/>
    <w:rsid w:val="00893D8B"/>
    <w:rsid w:val="00895218"/>
    <w:rsid w:val="00895546"/>
    <w:rsid w:val="008A13EB"/>
    <w:rsid w:val="008A266A"/>
    <w:rsid w:val="008A39C3"/>
    <w:rsid w:val="008A55EB"/>
    <w:rsid w:val="008B63F4"/>
    <w:rsid w:val="008B68D4"/>
    <w:rsid w:val="008B6A0F"/>
    <w:rsid w:val="008B74DD"/>
    <w:rsid w:val="008B7773"/>
    <w:rsid w:val="008B7774"/>
    <w:rsid w:val="008C0F00"/>
    <w:rsid w:val="008D1363"/>
    <w:rsid w:val="008D2841"/>
    <w:rsid w:val="008D3016"/>
    <w:rsid w:val="008D38DB"/>
    <w:rsid w:val="008D4431"/>
    <w:rsid w:val="008D49EB"/>
    <w:rsid w:val="008D4CBD"/>
    <w:rsid w:val="008D52D8"/>
    <w:rsid w:val="008D6C11"/>
    <w:rsid w:val="008F276B"/>
    <w:rsid w:val="009028A3"/>
    <w:rsid w:val="0090628B"/>
    <w:rsid w:val="009074D0"/>
    <w:rsid w:val="00911F0E"/>
    <w:rsid w:val="009120BA"/>
    <w:rsid w:val="0091304A"/>
    <w:rsid w:val="00913894"/>
    <w:rsid w:val="00931912"/>
    <w:rsid w:val="009329E4"/>
    <w:rsid w:val="00933EAF"/>
    <w:rsid w:val="00933F25"/>
    <w:rsid w:val="009436D6"/>
    <w:rsid w:val="0094442E"/>
    <w:rsid w:val="009445A3"/>
    <w:rsid w:val="00946EFC"/>
    <w:rsid w:val="00957B06"/>
    <w:rsid w:val="00962789"/>
    <w:rsid w:val="00963C60"/>
    <w:rsid w:val="00965239"/>
    <w:rsid w:val="00965F40"/>
    <w:rsid w:val="00966510"/>
    <w:rsid w:val="009700E2"/>
    <w:rsid w:val="00970972"/>
    <w:rsid w:val="0097298A"/>
    <w:rsid w:val="00977032"/>
    <w:rsid w:val="00984529"/>
    <w:rsid w:val="00984919"/>
    <w:rsid w:val="00992BB8"/>
    <w:rsid w:val="009A0346"/>
    <w:rsid w:val="009A4B27"/>
    <w:rsid w:val="009A5B76"/>
    <w:rsid w:val="009A6A22"/>
    <w:rsid w:val="009B7EEA"/>
    <w:rsid w:val="009C15F8"/>
    <w:rsid w:val="009C3DE6"/>
    <w:rsid w:val="009C5002"/>
    <w:rsid w:val="009D1C0A"/>
    <w:rsid w:val="009D6170"/>
    <w:rsid w:val="009D793F"/>
    <w:rsid w:val="009E0350"/>
    <w:rsid w:val="009E2BC8"/>
    <w:rsid w:val="009E5CA9"/>
    <w:rsid w:val="009E687A"/>
    <w:rsid w:val="009F2BCE"/>
    <w:rsid w:val="009F5846"/>
    <w:rsid w:val="009F6CA5"/>
    <w:rsid w:val="00A011FA"/>
    <w:rsid w:val="00A0194A"/>
    <w:rsid w:val="00A049D4"/>
    <w:rsid w:val="00A05585"/>
    <w:rsid w:val="00A061FE"/>
    <w:rsid w:val="00A06957"/>
    <w:rsid w:val="00A076C0"/>
    <w:rsid w:val="00A07BEC"/>
    <w:rsid w:val="00A1089A"/>
    <w:rsid w:val="00A1221B"/>
    <w:rsid w:val="00A13F74"/>
    <w:rsid w:val="00A2047B"/>
    <w:rsid w:val="00A20FF6"/>
    <w:rsid w:val="00A2659D"/>
    <w:rsid w:val="00A2674C"/>
    <w:rsid w:val="00A27A77"/>
    <w:rsid w:val="00A3298E"/>
    <w:rsid w:val="00A32F8F"/>
    <w:rsid w:val="00A33BF1"/>
    <w:rsid w:val="00A34CBC"/>
    <w:rsid w:val="00A35E2E"/>
    <w:rsid w:val="00A44586"/>
    <w:rsid w:val="00A46E02"/>
    <w:rsid w:val="00A51CA6"/>
    <w:rsid w:val="00A5366B"/>
    <w:rsid w:val="00A55D4D"/>
    <w:rsid w:val="00A5666B"/>
    <w:rsid w:val="00A617DB"/>
    <w:rsid w:val="00A624B1"/>
    <w:rsid w:val="00A6346B"/>
    <w:rsid w:val="00A6463C"/>
    <w:rsid w:val="00A674EE"/>
    <w:rsid w:val="00A72A7B"/>
    <w:rsid w:val="00A7638A"/>
    <w:rsid w:val="00A77A9E"/>
    <w:rsid w:val="00A801E3"/>
    <w:rsid w:val="00A80978"/>
    <w:rsid w:val="00A855E4"/>
    <w:rsid w:val="00A8708D"/>
    <w:rsid w:val="00A96E25"/>
    <w:rsid w:val="00A97CBD"/>
    <w:rsid w:val="00A97D2F"/>
    <w:rsid w:val="00AA2666"/>
    <w:rsid w:val="00AB5139"/>
    <w:rsid w:val="00AB5327"/>
    <w:rsid w:val="00AB54A4"/>
    <w:rsid w:val="00AB6009"/>
    <w:rsid w:val="00AC1835"/>
    <w:rsid w:val="00AC28D2"/>
    <w:rsid w:val="00AC6EF7"/>
    <w:rsid w:val="00AC7869"/>
    <w:rsid w:val="00AC7F98"/>
    <w:rsid w:val="00AD21C4"/>
    <w:rsid w:val="00AD451D"/>
    <w:rsid w:val="00AD68EC"/>
    <w:rsid w:val="00AD7771"/>
    <w:rsid w:val="00AE030D"/>
    <w:rsid w:val="00AE2C85"/>
    <w:rsid w:val="00AE4003"/>
    <w:rsid w:val="00AE4C38"/>
    <w:rsid w:val="00AE6FB8"/>
    <w:rsid w:val="00AF0C06"/>
    <w:rsid w:val="00AF360A"/>
    <w:rsid w:val="00AF364D"/>
    <w:rsid w:val="00AF43F7"/>
    <w:rsid w:val="00B00280"/>
    <w:rsid w:val="00B02EA2"/>
    <w:rsid w:val="00B0435C"/>
    <w:rsid w:val="00B048ED"/>
    <w:rsid w:val="00B0652C"/>
    <w:rsid w:val="00B133A1"/>
    <w:rsid w:val="00B1697D"/>
    <w:rsid w:val="00B202F9"/>
    <w:rsid w:val="00B21AD3"/>
    <w:rsid w:val="00B22ECC"/>
    <w:rsid w:val="00B2305F"/>
    <w:rsid w:val="00B25394"/>
    <w:rsid w:val="00B310C3"/>
    <w:rsid w:val="00B31BE4"/>
    <w:rsid w:val="00B32865"/>
    <w:rsid w:val="00B32FF6"/>
    <w:rsid w:val="00B330AE"/>
    <w:rsid w:val="00B33FB6"/>
    <w:rsid w:val="00B4003C"/>
    <w:rsid w:val="00B42717"/>
    <w:rsid w:val="00B45F07"/>
    <w:rsid w:val="00B474C8"/>
    <w:rsid w:val="00B51250"/>
    <w:rsid w:val="00B5452B"/>
    <w:rsid w:val="00B5735B"/>
    <w:rsid w:val="00B614F9"/>
    <w:rsid w:val="00B62662"/>
    <w:rsid w:val="00B70103"/>
    <w:rsid w:val="00B743A1"/>
    <w:rsid w:val="00B75A4A"/>
    <w:rsid w:val="00B82364"/>
    <w:rsid w:val="00B8245E"/>
    <w:rsid w:val="00B926D3"/>
    <w:rsid w:val="00B929DB"/>
    <w:rsid w:val="00B92DAF"/>
    <w:rsid w:val="00B94C52"/>
    <w:rsid w:val="00B97216"/>
    <w:rsid w:val="00B97B37"/>
    <w:rsid w:val="00BA0EF1"/>
    <w:rsid w:val="00BA2207"/>
    <w:rsid w:val="00BA27ED"/>
    <w:rsid w:val="00BA2B23"/>
    <w:rsid w:val="00BA5F8A"/>
    <w:rsid w:val="00BA6A6E"/>
    <w:rsid w:val="00BB0551"/>
    <w:rsid w:val="00BB0781"/>
    <w:rsid w:val="00BB2CFE"/>
    <w:rsid w:val="00BB4904"/>
    <w:rsid w:val="00BB777C"/>
    <w:rsid w:val="00BB7865"/>
    <w:rsid w:val="00BC0233"/>
    <w:rsid w:val="00BC07C0"/>
    <w:rsid w:val="00BC08ED"/>
    <w:rsid w:val="00BC094B"/>
    <w:rsid w:val="00BC2FD3"/>
    <w:rsid w:val="00BC3856"/>
    <w:rsid w:val="00BC51AC"/>
    <w:rsid w:val="00BC6260"/>
    <w:rsid w:val="00BC794A"/>
    <w:rsid w:val="00BD0297"/>
    <w:rsid w:val="00BD6F9A"/>
    <w:rsid w:val="00BE2C09"/>
    <w:rsid w:val="00BE3758"/>
    <w:rsid w:val="00BE4EF0"/>
    <w:rsid w:val="00BE52F0"/>
    <w:rsid w:val="00BE5EE0"/>
    <w:rsid w:val="00BE6642"/>
    <w:rsid w:val="00BE7B65"/>
    <w:rsid w:val="00BE7DBD"/>
    <w:rsid w:val="00BF1ED6"/>
    <w:rsid w:val="00BF2A8A"/>
    <w:rsid w:val="00BF4851"/>
    <w:rsid w:val="00BF5FB9"/>
    <w:rsid w:val="00C0106C"/>
    <w:rsid w:val="00C02F2F"/>
    <w:rsid w:val="00C03818"/>
    <w:rsid w:val="00C0568B"/>
    <w:rsid w:val="00C117C6"/>
    <w:rsid w:val="00C14D56"/>
    <w:rsid w:val="00C17096"/>
    <w:rsid w:val="00C2281E"/>
    <w:rsid w:val="00C22CB4"/>
    <w:rsid w:val="00C25EC9"/>
    <w:rsid w:val="00C30F99"/>
    <w:rsid w:val="00C36B77"/>
    <w:rsid w:val="00C40DD6"/>
    <w:rsid w:val="00C41DCF"/>
    <w:rsid w:val="00C43847"/>
    <w:rsid w:val="00C43E2C"/>
    <w:rsid w:val="00C454D7"/>
    <w:rsid w:val="00C52613"/>
    <w:rsid w:val="00C54C9F"/>
    <w:rsid w:val="00C57D3E"/>
    <w:rsid w:val="00C60C99"/>
    <w:rsid w:val="00C62DEF"/>
    <w:rsid w:val="00C62EDB"/>
    <w:rsid w:val="00C6396E"/>
    <w:rsid w:val="00C644B2"/>
    <w:rsid w:val="00C670D9"/>
    <w:rsid w:val="00C704E7"/>
    <w:rsid w:val="00C77C48"/>
    <w:rsid w:val="00C80654"/>
    <w:rsid w:val="00C80ECF"/>
    <w:rsid w:val="00C814B8"/>
    <w:rsid w:val="00C82907"/>
    <w:rsid w:val="00C82F4A"/>
    <w:rsid w:val="00C84E89"/>
    <w:rsid w:val="00C90FF8"/>
    <w:rsid w:val="00C94857"/>
    <w:rsid w:val="00C954EF"/>
    <w:rsid w:val="00C97390"/>
    <w:rsid w:val="00CA2FAF"/>
    <w:rsid w:val="00CA3311"/>
    <w:rsid w:val="00CA6BAA"/>
    <w:rsid w:val="00CA779C"/>
    <w:rsid w:val="00CB07A3"/>
    <w:rsid w:val="00CB1390"/>
    <w:rsid w:val="00CB2F36"/>
    <w:rsid w:val="00CB4064"/>
    <w:rsid w:val="00CB43F2"/>
    <w:rsid w:val="00CB7D98"/>
    <w:rsid w:val="00CC3348"/>
    <w:rsid w:val="00CC70AD"/>
    <w:rsid w:val="00CD0150"/>
    <w:rsid w:val="00CD225D"/>
    <w:rsid w:val="00CD5EBC"/>
    <w:rsid w:val="00CD78C1"/>
    <w:rsid w:val="00CE57EB"/>
    <w:rsid w:val="00CE7279"/>
    <w:rsid w:val="00CE7624"/>
    <w:rsid w:val="00CF1B96"/>
    <w:rsid w:val="00CF233B"/>
    <w:rsid w:val="00CF55E4"/>
    <w:rsid w:val="00D0196E"/>
    <w:rsid w:val="00D03887"/>
    <w:rsid w:val="00D11556"/>
    <w:rsid w:val="00D121B6"/>
    <w:rsid w:val="00D12F19"/>
    <w:rsid w:val="00D14D9F"/>
    <w:rsid w:val="00D2104F"/>
    <w:rsid w:val="00D23436"/>
    <w:rsid w:val="00D24336"/>
    <w:rsid w:val="00D26373"/>
    <w:rsid w:val="00D27329"/>
    <w:rsid w:val="00D27771"/>
    <w:rsid w:val="00D34D1D"/>
    <w:rsid w:val="00D34D8F"/>
    <w:rsid w:val="00D43E21"/>
    <w:rsid w:val="00D44E20"/>
    <w:rsid w:val="00D46640"/>
    <w:rsid w:val="00D526B6"/>
    <w:rsid w:val="00D54B5E"/>
    <w:rsid w:val="00D550B1"/>
    <w:rsid w:val="00D574B7"/>
    <w:rsid w:val="00D608A8"/>
    <w:rsid w:val="00D61E98"/>
    <w:rsid w:val="00D63276"/>
    <w:rsid w:val="00D635EC"/>
    <w:rsid w:val="00D676BB"/>
    <w:rsid w:val="00D72B2A"/>
    <w:rsid w:val="00D76B02"/>
    <w:rsid w:val="00D77678"/>
    <w:rsid w:val="00D81E75"/>
    <w:rsid w:val="00D821B4"/>
    <w:rsid w:val="00D82B15"/>
    <w:rsid w:val="00D87E46"/>
    <w:rsid w:val="00D90597"/>
    <w:rsid w:val="00D912D4"/>
    <w:rsid w:val="00D914B0"/>
    <w:rsid w:val="00D91FA2"/>
    <w:rsid w:val="00D9212C"/>
    <w:rsid w:val="00D92E01"/>
    <w:rsid w:val="00D943B9"/>
    <w:rsid w:val="00D97189"/>
    <w:rsid w:val="00DA028D"/>
    <w:rsid w:val="00DA1044"/>
    <w:rsid w:val="00DA267B"/>
    <w:rsid w:val="00DA30F2"/>
    <w:rsid w:val="00DA769A"/>
    <w:rsid w:val="00DB2A84"/>
    <w:rsid w:val="00DB3CA6"/>
    <w:rsid w:val="00DB5DE3"/>
    <w:rsid w:val="00DB7F82"/>
    <w:rsid w:val="00DC054D"/>
    <w:rsid w:val="00DC298E"/>
    <w:rsid w:val="00DC68A6"/>
    <w:rsid w:val="00DD2568"/>
    <w:rsid w:val="00DD3D0B"/>
    <w:rsid w:val="00DD5FB9"/>
    <w:rsid w:val="00DE21EE"/>
    <w:rsid w:val="00DE42FA"/>
    <w:rsid w:val="00DE477B"/>
    <w:rsid w:val="00DE50DF"/>
    <w:rsid w:val="00DE5BB1"/>
    <w:rsid w:val="00DE6273"/>
    <w:rsid w:val="00DF08E0"/>
    <w:rsid w:val="00DF0AC4"/>
    <w:rsid w:val="00DF1AB7"/>
    <w:rsid w:val="00DF269F"/>
    <w:rsid w:val="00DF28F0"/>
    <w:rsid w:val="00DF6601"/>
    <w:rsid w:val="00E024BA"/>
    <w:rsid w:val="00E03B22"/>
    <w:rsid w:val="00E06656"/>
    <w:rsid w:val="00E1215A"/>
    <w:rsid w:val="00E15119"/>
    <w:rsid w:val="00E17AA6"/>
    <w:rsid w:val="00E21167"/>
    <w:rsid w:val="00E22BB1"/>
    <w:rsid w:val="00E32467"/>
    <w:rsid w:val="00E34D21"/>
    <w:rsid w:val="00E350CB"/>
    <w:rsid w:val="00E369E4"/>
    <w:rsid w:val="00E37337"/>
    <w:rsid w:val="00E37B75"/>
    <w:rsid w:val="00E42366"/>
    <w:rsid w:val="00E42FF2"/>
    <w:rsid w:val="00E452CE"/>
    <w:rsid w:val="00E50D46"/>
    <w:rsid w:val="00E54AC4"/>
    <w:rsid w:val="00E6021F"/>
    <w:rsid w:val="00E60931"/>
    <w:rsid w:val="00E621C3"/>
    <w:rsid w:val="00E64EF7"/>
    <w:rsid w:val="00E66258"/>
    <w:rsid w:val="00E71CA6"/>
    <w:rsid w:val="00E722E2"/>
    <w:rsid w:val="00E72F8D"/>
    <w:rsid w:val="00E74804"/>
    <w:rsid w:val="00E74DE6"/>
    <w:rsid w:val="00E7745D"/>
    <w:rsid w:val="00E823FF"/>
    <w:rsid w:val="00E83035"/>
    <w:rsid w:val="00E84877"/>
    <w:rsid w:val="00E85489"/>
    <w:rsid w:val="00E862AA"/>
    <w:rsid w:val="00E87F8E"/>
    <w:rsid w:val="00E91A78"/>
    <w:rsid w:val="00EA0D43"/>
    <w:rsid w:val="00EA0F78"/>
    <w:rsid w:val="00EA232A"/>
    <w:rsid w:val="00EA6F7F"/>
    <w:rsid w:val="00EA7632"/>
    <w:rsid w:val="00EB35CB"/>
    <w:rsid w:val="00EB697F"/>
    <w:rsid w:val="00EB6E8B"/>
    <w:rsid w:val="00EC12BB"/>
    <w:rsid w:val="00EC1B9E"/>
    <w:rsid w:val="00EC2057"/>
    <w:rsid w:val="00EC48C9"/>
    <w:rsid w:val="00EC4AD8"/>
    <w:rsid w:val="00EC592E"/>
    <w:rsid w:val="00EC60A2"/>
    <w:rsid w:val="00ED153F"/>
    <w:rsid w:val="00ED4A76"/>
    <w:rsid w:val="00ED5F2A"/>
    <w:rsid w:val="00EE0C8F"/>
    <w:rsid w:val="00EE23ED"/>
    <w:rsid w:val="00EE3D16"/>
    <w:rsid w:val="00EE4841"/>
    <w:rsid w:val="00EE5697"/>
    <w:rsid w:val="00EE73C5"/>
    <w:rsid w:val="00EF4BBF"/>
    <w:rsid w:val="00EF76D0"/>
    <w:rsid w:val="00F0045D"/>
    <w:rsid w:val="00F06170"/>
    <w:rsid w:val="00F068B0"/>
    <w:rsid w:val="00F10193"/>
    <w:rsid w:val="00F204E9"/>
    <w:rsid w:val="00F249CF"/>
    <w:rsid w:val="00F2634E"/>
    <w:rsid w:val="00F26A24"/>
    <w:rsid w:val="00F274FC"/>
    <w:rsid w:val="00F27619"/>
    <w:rsid w:val="00F27920"/>
    <w:rsid w:val="00F3283E"/>
    <w:rsid w:val="00F376A2"/>
    <w:rsid w:val="00F43020"/>
    <w:rsid w:val="00F43F86"/>
    <w:rsid w:val="00F45B90"/>
    <w:rsid w:val="00F468B6"/>
    <w:rsid w:val="00F50B96"/>
    <w:rsid w:val="00F532D5"/>
    <w:rsid w:val="00F53793"/>
    <w:rsid w:val="00F56941"/>
    <w:rsid w:val="00F6041A"/>
    <w:rsid w:val="00F62E9F"/>
    <w:rsid w:val="00F63287"/>
    <w:rsid w:val="00F63303"/>
    <w:rsid w:val="00F63A42"/>
    <w:rsid w:val="00F66E76"/>
    <w:rsid w:val="00F7027E"/>
    <w:rsid w:val="00F775FB"/>
    <w:rsid w:val="00F85A8E"/>
    <w:rsid w:val="00F872C8"/>
    <w:rsid w:val="00F90BE0"/>
    <w:rsid w:val="00FA0342"/>
    <w:rsid w:val="00FA17D2"/>
    <w:rsid w:val="00FA4652"/>
    <w:rsid w:val="00FA4E57"/>
    <w:rsid w:val="00FA57BE"/>
    <w:rsid w:val="00FA5C3D"/>
    <w:rsid w:val="00FA7376"/>
    <w:rsid w:val="00FA73A7"/>
    <w:rsid w:val="00FB0465"/>
    <w:rsid w:val="00FB0CF6"/>
    <w:rsid w:val="00FB1BA6"/>
    <w:rsid w:val="00FB4EDE"/>
    <w:rsid w:val="00FB769C"/>
    <w:rsid w:val="00FC1095"/>
    <w:rsid w:val="00FC24E4"/>
    <w:rsid w:val="00FC2589"/>
    <w:rsid w:val="00FD1075"/>
    <w:rsid w:val="00FD505B"/>
    <w:rsid w:val="00FE082B"/>
    <w:rsid w:val="00FE27C1"/>
    <w:rsid w:val="00FE37DB"/>
    <w:rsid w:val="00FE59BC"/>
    <w:rsid w:val="00FE7307"/>
    <w:rsid w:val="00FF6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DA56"/>
  <w15:docId w15:val="{6B1A2BF1-9211-4D82-828C-DCCDADA9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5346"/>
      <w:outlineLvl w:val="0"/>
    </w:pPr>
    <w:rPr>
      <w:b/>
      <w:bCs/>
    </w:rPr>
  </w:style>
  <w:style w:type="paragraph" w:styleId="Nagwek2">
    <w:name w:val="heading 2"/>
    <w:basedOn w:val="Normalny"/>
    <w:next w:val="Normalny"/>
    <w:link w:val="Nagwek2Znak"/>
    <w:uiPriority w:val="9"/>
    <w:semiHidden/>
    <w:unhideWhenUsed/>
    <w:qFormat/>
    <w:rsid w:val="00CF55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aliases w:val="maz_wyliczenie,opis dzialania,K-P_odwolanie,A_wyliczenie,Akapit z listą 1,L1,Numerowanie,CW_Lista,List Paragraph,Wyliczanie,BulletC,Listaszerű bekezdés1,List Paragraph à moi,Dot pt,F5 List Paragraph,Numbered Para 1,No Spacing1"/>
    <w:basedOn w:val="Normalny"/>
    <w:link w:val="AkapitzlistZnak"/>
    <w:uiPriority w:val="34"/>
    <w:qFormat/>
    <w:pPr>
      <w:ind w:left="6066" w:right="217" w:hanging="360"/>
      <w:jc w:val="both"/>
    </w:pPr>
  </w:style>
  <w:style w:type="paragraph" w:customStyle="1" w:styleId="TableParagraph">
    <w:name w:val="Table Paragraph"/>
    <w:basedOn w:val="Normalny"/>
    <w:uiPriority w:val="1"/>
    <w:qFormat/>
    <w:pPr>
      <w:ind w:left="108"/>
    </w:pPr>
  </w:style>
  <w:style w:type="character" w:styleId="Hipercze">
    <w:name w:val="Hyperlink"/>
    <w:basedOn w:val="Domylnaczcionkaakapitu"/>
    <w:uiPriority w:val="99"/>
    <w:unhideWhenUsed/>
    <w:rsid w:val="00BE3758"/>
    <w:rPr>
      <w:color w:val="0000FF" w:themeColor="hyperlink"/>
      <w:u w:val="single"/>
    </w:rPr>
  </w:style>
  <w:style w:type="character" w:customStyle="1" w:styleId="Nierozpoznanawzmianka1">
    <w:name w:val="Nierozpoznana wzmianka1"/>
    <w:basedOn w:val="Domylnaczcionkaakapitu"/>
    <w:uiPriority w:val="99"/>
    <w:semiHidden/>
    <w:unhideWhenUsed/>
    <w:rsid w:val="00BE3758"/>
    <w:rPr>
      <w:color w:val="605E5C"/>
      <w:shd w:val="clear" w:color="auto" w:fill="E1DFDD"/>
    </w:rPr>
  </w:style>
  <w:style w:type="paragraph" w:customStyle="1" w:styleId="ARTartustawynprozporzdzenia">
    <w:name w:val="ART(§) – art. ustawy (§ np. rozporządzenia)"/>
    <w:uiPriority w:val="11"/>
    <w:qFormat/>
    <w:rsid w:val="00DF1AB7"/>
    <w:pPr>
      <w:widowControl/>
      <w:suppressAutoHyphens/>
      <w:adjustRightInd w:val="0"/>
      <w:spacing w:before="120" w:line="360" w:lineRule="auto"/>
      <w:ind w:firstLine="510"/>
      <w:jc w:val="both"/>
    </w:pPr>
    <w:rPr>
      <w:rFonts w:ascii="Times" w:eastAsia="Times New Roman" w:hAnsi="Times" w:cs="Arial"/>
      <w:sz w:val="24"/>
      <w:szCs w:val="20"/>
      <w:lang w:val="pl-PL" w:eastAsia="pl-PL"/>
    </w:rPr>
  </w:style>
  <w:style w:type="paragraph" w:styleId="Tekstprzypisudolnego">
    <w:name w:val="footnote text"/>
    <w:basedOn w:val="Normalny"/>
    <w:link w:val="TekstprzypisudolnegoZnak"/>
    <w:unhideWhenUsed/>
    <w:rsid w:val="00E06656"/>
    <w:pPr>
      <w:widowControl/>
      <w:autoSpaceDE/>
      <w:autoSpaceDN/>
      <w:spacing w:line="276" w:lineRule="auto"/>
    </w:pPr>
    <w:rPr>
      <w:rFonts w:ascii="Calibri" w:eastAsia="Calibri" w:hAnsi="Calibri"/>
      <w:sz w:val="20"/>
      <w:szCs w:val="20"/>
    </w:rPr>
  </w:style>
  <w:style w:type="character" w:customStyle="1" w:styleId="TekstprzypisudolnegoZnak">
    <w:name w:val="Tekst przypisu dolnego Znak"/>
    <w:basedOn w:val="Domylnaczcionkaakapitu"/>
    <w:link w:val="Tekstprzypisudolnego"/>
    <w:rsid w:val="00E06656"/>
    <w:rPr>
      <w:rFonts w:ascii="Calibri" w:eastAsia="Calibri" w:hAnsi="Calibri" w:cs="Times New Roman"/>
      <w:sz w:val="20"/>
      <w:szCs w:val="20"/>
      <w:lang w:val="pl-PL"/>
    </w:rPr>
  </w:style>
  <w:style w:type="character" w:styleId="Odwoanieprzypisudolnego">
    <w:name w:val="footnote reference"/>
    <w:semiHidden/>
    <w:unhideWhenUsed/>
    <w:rsid w:val="00E06656"/>
    <w:rPr>
      <w:vertAlign w:val="superscript"/>
    </w:rPr>
  </w:style>
  <w:style w:type="paragraph" w:styleId="Nagwek">
    <w:name w:val="header"/>
    <w:basedOn w:val="Normalny"/>
    <w:link w:val="NagwekZnak"/>
    <w:uiPriority w:val="99"/>
    <w:unhideWhenUsed/>
    <w:rsid w:val="00E72F8D"/>
    <w:pPr>
      <w:widowControl/>
      <w:tabs>
        <w:tab w:val="center" w:pos="4536"/>
        <w:tab w:val="right" w:pos="9072"/>
      </w:tabs>
      <w:autoSpaceDE/>
      <w:autoSpaceDN/>
    </w:pPr>
    <w:rPr>
      <w:rFonts w:ascii="Calibri" w:eastAsia="Calibri" w:hAnsi="Calibri"/>
    </w:rPr>
  </w:style>
  <w:style w:type="character" w:customStyle="1" w:styleId="NagwekZnak">
    <w:name w:val="Nagłówek Znak"/>
    <w:basedOn w:val="Domylnaczcionkaakapitu"/>
    <w:link w:val="Nagwek"/>
    <w:uiPriority w:val="99"/>
    <w:rsid w:val="00E72F8D"/>
    <w:rPr>
      <w:rFonts w:ascii="Calibri" w:eastAsia="Calibri" w:hAnsi="Calibri" w:cs="Times New Roman"/>
      <w:lang w:val="pl-PL"/>
    </w:rPr>
  </w:style>
  <w:style w:type="character" w:styleId="Odwoaniedokomentarza">
    <w:name w:val="annotation reference"/>
    <w:basedOn w:val="Domylnaczcionkaakapitu"/>
    <w:uiPriority w:val="99"/>
    <w:semiHidden/>
    <w:unhideWhenUsed/>
    <w:qFormat/>
    <w:rsid w:val="00785197"/>
    <w:rPr>
      <w:sz w:val="16"/>
      <w:szCs w:val="16"/>
    </w:rPr>
  </w:style>
  <w:style w:type="paragraph" w:styleId="Tekstkomentarza">
    <w:name w:val="annotation text"/>
    <w:basedOn w:val="Normalny"/>
    <w:link w:val="TekstkomentarzaZnak"/>
    <w:uiPriority w:val="99"/>
    <w:unhideWhenUsed/>
    <w:rsid w:val="00785197"/>
    <w:rPr>
      <w:sz w:val="20"/>
      <w:szCs w:val="20"/>
    </w:rPr>
  </w:style>
  <w:style w:type="character" w:customStyle="1" w:styleId="TekstkomentarzaZnak">
    <w:name w:val="Tekst komentarza Znak"/>
    <w:basedOn w:val="Domylnaczcionkaakapitu"/>
    <w:link w:val="Tekstkomentarza"/>
    <w:uiPriority w:val="99"/>
    <w:rsid w:val="00785197"/>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785197"/>
    <w:rPr>
      <w:b/>
      <w:bCs/>
    </w:rPr>
  </w:style>
  <w:style w:type="character" w:customStyle="1" w:styleId="TematkomentarzaZnak">
    <w:name w:val="Temat komentarza Znak"/>
    <w:basedOn w:val="TekstkomentarzaZnak"/>
    <w:link w:val="Tematkomentarza"/>
    <w:uiPriority w:val="99"/>
    <w:semiHidden/>
    <w:rsid w:val="00785197"/>
    <w:rPr>
      <w:rFonts w:ascii="Times New Roman" w:eastAsia="Times New Roman" w:hAnsi="Times New Roman" w:cs="Times New Roman"/>
      <w:b/>
      <w:bCs/>
      <w:sz w:val="20"/>
      <w:szCs w:val="20"/>
      <w:lang w:val="pl-PL"/>
    </w:rPr>
  </w:style>
  <w:style w:type="paragraph" w:customStyle="1" w:styleId="xmsonormal">
    <w:name w:val="x_msonormal"/>
    <w:basedOn w:val="Normalny"/>
    <w:rsid w:val="00B0435C"/>
    <w:pPr>
      <w:widowControl/>
      <w:autoSpaceDE/>
      <w:autoSpaceDN/>
    </w:pPr>
    <w:rPr>
      <w:rFonts w:ascii="Calibri" w:eastAsiaTheme="minorHAnsi" w:hAnsi="Calibri" w:cs="Calibri"/>
      <w:lang w:eastAsia="pl-PL"/>
    </w:rPr>
  </w:style>
  <w:style w:type="character" w:customStyle="1" w:styleId="AkapitzlistZnak">
    <w:name w:val="Akapit z listą Znak"/>
    <w:aliases w:val="maz_wyliczenie Znak,opis dzialania Znak,K-P_odwolanie Znak,A_wyliczenie Znak,Akapit z listą 1 Znak,L1 Znak,Numerowanie Znak,CW_Lista Znak,List Paragraph Znak,Wyliczanie Znak,BulletC Znak,Listaszerű bekezdés1 Znak,Dot pt Znak"/>
    <w:link w:val="Akapitzlist"/>
    <w:uiPriority w:val="99"/>
    <w:qFormat/>
    <w:locked/>
    <w:rsid w:val="00B0435C"/>
    <w:rPr>
      <w:rFonts w:ascii="Times New Roman" w:eastAsia="Times New Roman" w:hAnsi="Times New Roman" w:cs="Times New Roman"/>
      <w:lang w:val="pl-PL"/>
    </w:rPr>
  </w:style>
  <w:style w:type="paragraph" w:styleId="NormalnyWeb">
    <w:name w:val="Normal (Web)"/>
    <w:basedOn w:val="Normalny"/>
    <w:uiPriority w:val="99"/>
    <w:unhideWhenUsed/>
    <w:rsid w:val="00B22ECC"/>
    <w:pPr>
      <w:widowControl/>
      <w:autoSpaceDE/>
      <w:autoSpaceDN/>
      <w:spacing w:before="100" w:beforeAutospacing="1" w:after="100" w:afterAutospacing="1"/>
    </w:pPr>
    <w:rPr>
      <w:sz w:val="24"/>
      <w:szCs w:val="24"/>
      <w:lang w:eastAsia="pl-PL"/>
    </w:rPr>
  </w:style>
  <w:style w:type="character" w:customStyle="1" w:styleId="ui-provider">
    <w:name w:val="ui-provider"/>
    <w:basedOn w:val="Domylnaczcionkaakapitu"/>
    <w:rsid w:val="008B7774"/>
  </w:style>
  <w:style w:type="character" w:styleId="Pogrubienie">
    <w:name w:val="Strong"/>
    <w:basedOn w:val="Domylnaczcionkaakapitu"/>
    <w:uiPriority w:val="22"/>
    <w:qFormat/>
    <w:rsid w:val="00B00280"/>
    <w:rPr>
      <w:b/>
      <w:bCs/>
    </w:rPr>
  </w:style>
  <w:style w:type="paragraph" w:styleId="Tekstprzypisukocowego">
    <w:name w:val="endnote text"/>
    <w:basedOn w:val="Normalny"/>
    <w:link w:val="TekstprzypisukocowegoZnak"/>
    <w:uiPriority w:val="99"/>
    <w:semiHidden/>
    <w:unhideWhenUsed/>
    <w:rsid w:val="00814DAD"/>
    <w:rPr>
      <w:sz w:val="20"/>
      <w:szCs w:val="20"/>
    </w:rPr>
  </w:style>
  <w:style w:type="character" w:customStyle="1" w:styleId="TekstprzypisukocowegoZnak">
    <w:name w:val="Tekst przypisu końcowego Znak"/>
    <w:basedOn w:val="Domylnaczcionkaakapitu"/>
    <w:link w:val="Tekstprzypisukocowego"/>
    <w:uiPriority w:val="99"/>
    <w:semiHidden/>
    <w:rsid w:val="00814DAD"/>
    <w:rPr>
      <w:rFonts w:ascii="Times New Roman" w:eastAsia="Times New Roman" w:hAnsi="Times New Roman" w:cs="Times New Roman"/>
      <w:sz w:val="20"/>
      <w:szCs w:val="20"/>
      <w:lang w:val="pl-PL"/>
    </w:rPr>
  </w:style>
  <w:style w:type="character" w:styleId="Odwoanieprzypisukocowego">
    <w:name w:val="endnote reference"/>
    <w:basedOn w:val="Domylnaczcionkaakapitu"/>
    <w:uiPriority w:val="99"/>
    <w:semiHidden/>
    <w:unhideWhenUsed/>
    <w:rsid w:val="00814DAD"/>
    <w:rPr>
      <w:vertAlign w:val="superscript"/>
    </w:rPr>
  </w:style>
  <w:style w:type="character" w:customStyle="1" w:styleId="relative">
    <w:name w:val="relative"/>
    <w:basedOn w:val="Domylnaczcionkaakapitu"/>
    <w:rsid w:val="007979E4"/>
  </w:style>
  <w:style w:type="character" w:customStyle="1" w:styleId="Brak">
    <w:name w:val="Brak"/>
    <w:rsid w:val="00791257"/>
  </w:style>
  <w:style w:type="paragraph" w:customStyle="1" w:styleId="DomylneA">
    <w:name w:val="Domyślne A"/>
    <w:rsid w:val="00791257"/>
    <w:pPr>
      <w:widowControl/>
      <w:pBdr>
        <w:top w:val="nil"/>
        <w:left w:val="nil"/>
        <w:bottom w:val="nil"/>
        <w:right w:val="nil"/>
        <w:between w:val="nil"/>
        <w:bar w:val="nil"/>
      </w:pBdr>
      <w:autoSpaceDE/>
      <w:autoSpaceDN/>
      <w:spacing w:before="160" w:after="200" w:line="288" w:lineRule="auto"/>
    </w:pPr>
    <w:rPr>
      <w:rFonts w:ascii="Arial" w:eastAsia="Arial Unicode MS" w:hAnsi="Arial" w:cs="Arial Unicode MS"/>
      <w:color w:val="000000"/>
      <w:sz w:val="24"/>
      <w:szCs w:val="24"/>
      <w:u w:color="000000"/>
      <w:bdr w:val="nil"/>
      <w:lang w:val="pl-PL" w:eastAsia="pl-PL"/>
      <w14:textOutline w14:w="12700" w14:cap="flat" w14:cmpd="sng" w14:algn="ctr">
        <w14:noFill/>
        <w14:prstDash w14:val="solid"/>
        <w14:miter w14:lim="400000"/>
      </w14:textOutline>
    </w:rPr>
  </w:style>
  <w:style w:type="paragraph" w:styleId="Tekstdymka">
    <w:name w:val="Balloon Text"/>
    <w:basedOn w:val="Normalny"/>
    <w:link w:val="TekstdymkaZnak"/>
    <w:semiHidden/>
    <w:rsid w:val="00A06957"/>
    <w:pPr>
      <w:widowControl/>
      <w:autoSpaceDE/>
      <w:autoSpaceDN/>
    </w:pPr>
    <w:rPr>
      <w:rFonts w:ascii="Tahoma" w:hAnsi="Tahoma" w:cs="Tahoma"/>
      <w:sz w:val="16"/>
      <w:szCs w:val="16"/>
      <w:lang w:eastAsia="pl-PL"/>
    </w:rPr>
  </w:style>
  <w:style w:type="character" w:customStyle="1" w:styleId="TekstdymkaZnak">
    <w:name w:val="Tekst dymka Znak"/>
    <w:basedOn w:val="Domylnaczcionkaakapitu"/>
    <w:link w:val="Tekstdymka"/>
    <w:semiHidden/>
    <w:rsid w:val="00A06957"/>
    <w:rPr>
      <w:rFonts w:ascii="Tahoma" w:eastAsia="Times New Roman" w:hAnsi="Tahoma" w:cs="Tahoma"/>
      <w:sz w:val="16"/>
      <w:szCs w:val="16"/>
      <w:lang w:val="pl-PL" w:eastAsia="pl-PL"/>
    </w:rPr>
  </w:style>
  <w:style w:type="character" w:customStyle="1" w:styleId="Nagwek2Znak">
    <w:name w:val="Nagłówek 2 Znak"/>
    <w:basedOn w:val="Domylnaczcionkaakapitu"/>
    <w:link w:val="Nagwek2"/>
    <w:uiPriority w:val="9"/>
    <w:semiHidden/>
    <w:rsid w:val="00CF55E4"/>
    <w:rPr>
      <w:rFonts w:asciiTheme="majorHAnsi" w:eastAsiaTheme="majorEastAsia" w:hAnsiTheme="majorHAnsi" w:cstheme="majorBidi"/>
      <w:color w:val="365F91" w:themeColor="accent1" w:themeShade="BF"/>
      <w:sz w:val="26"/>
      <w:szCs w:val="26"/>
      <w:lang w:val="pl-PL"/>
    </w:rPr>
  </w:style>
  <w:style w:type="character" w:styleId="UyteHipercze">
    <w:name w:val="FollowedHyperlink"/>
    <w:basedOn w:val="Domylnaczcionkaakapitu"/>
    <w:uiPriority w:val="99"/>
    <w:semiHidden/>
    <w:unhideWhenUsed/>
    <w:rsid w:val="00DA769A"/>
    <w:rPr>
      <w:color w:val="800080" w:themeColor="followedHyperlink"/>
      <w:u w:val="single"/>
    </w:rPr>
  </w:style>
  <w:style w:type="character" w:styleId="Nierozpoznanawzmianka">
    <w:name w:val="Unresolved Mention"/>
    <w:basedOn w:val="Domylnaczcionkaakapitu"/>
    <w:uiPriority w:val="99"/>
    <w:semiHidden/>
    <w:unhideWhenUsed/>
    <w:rsid w:val="002410D3"/>
    <w:rPr>
      <w:color w:val="605E5C"/>
      <w:shd w:val="clear" w:color="auto" w:fill="E1DFDD"/>
    </w:rPr>
  </w:style>
  <w:style w:type="paragraph" w:styleId="Stopka">
    <w:name w:val="footer"/>
    <w:basedOn w:val="Normalny"/>
    <w:link w:val="StopkaZnak"/>
    <w:unhideWhenUsed/>
    <w:rsid w:val="00BE5EE0"/>
    <w:pPr>
      <w:widowControl/>
      <w:tabs>
        <w:tab w:val="center" w:pos="4536"/>
        <w:tab w:val="right" w:pos="9072"/>
      </w:tabs>
      <w:autoSpaceDE/>
      <w:autoSpaceDN/>
    </w:pPr>
    <w:rPr>
      <w:rFonts w:asciiTheme="minorHAnsi" w:eastAsiaTheme="minorHAnsi" w:hAnsiTheme="minorHAnsi" w:cstheme="minorBidi"/>
    </w:rPr>
  </w:style>
  <w:style w:type="character" w:customStyle="1" w:styleId="StopkaZnak">
    <w:name w:val="Stopka Znak"/>
    <w:basedOn w:val="Domylnaczcionkaakapitu"/>
    <w:link w:val="Stopka"/>
    <w:rsid w:val="00BE5EE0"/>
    <w:rPr>
      <w:lang w:val="pl-PL"/>
    </w:rPr>
  </w:style>
  <w:style w:type="paragraph" w:customStyle="1" w:styleId="Default">
    <w:name w:val="Default"/>
    <w:rsid w:val="00DC298E"/>
    <w:pPr>
      <w:widowControl/>
      <w:adjustRightInd w:val="0"/>
    </w:pPr>
    <w:rPr>
      <w:rFonts w:ascii="Arial" w:eastAsia="Calibri" w:hAnsi="Arial" w:cs="Arial"/>
      <w:color w:val="000000"/>
      <w:sz w:val="24"/>
      <w:szCs w:val="24"/>
      <w:lang w:val="pl-PL" w:eastAsia="pl-PL"/>
    </w:rPr>
  </w:style>
  <w:style w:type="paragraph" w:customStyle="1" w:styleId="Przypisdolny">
    <w:name w:val="Przypis dolny"/>
    <w:rsid w:val="00DC298E"/>
    <w:pPr>
      <w:widowControl/>
      <w:pBdr>
        <w:top w:val="nil"/>
        <w:left w:val="nil"/>
        <w:bottom w:val="nil"/>
        <w:right w:val="nil"/>
        <w:between w:val="nil"/>
        <w:bar w:val="nil"/>
      </w:pBdr>
      <w:autoSpaceDE/>
      <w:autoSpaceDN/>
    </w:pPr>
    <w:rPr>
      <w:rFonts w:ascii="Helvetica Neue" w:eastAsia="Helvetica Neue" w:hAnsi="Helvetica Neue" w:cs="Helvetica Neue"/>
      <w:color w:val="000000"/>
      <w:u w:color="000000"/>
      <w:bdr w:val="nil"/>
      <w:lang w:val="pl-PL" w:eastAsia="pl-PL"/>
    </w:rPr>
  </w:style>
  <w:style w:type="paragraph" w:styleId="Poprawka">
    <w:name w:val="Revision"/>
    <w:hidden/>
    <w:uiPriority w:val="99"/>
    <w:semiHidden/>
    <w:rsid w:val="007F4800"/>
    <w:pPr>
      <w:widowControl/>
      <w:autoSpaceDE/>
      <w:autoSpaceDN/>
    </w:pPr>
    <w:rPr>
      <w:rFonts w:ascii="Times New Roman" w:eastAsia="Times New Roman" w:hAnsi="Times New Roman" w:cs="Times New Roman"/>
      <w:lang w:val="pl-PL"/>
    </w:rPr>
  </w:style>
  <w:style w:type="paragraph" w:styleId="Mapadokumentu">
    <w:name w:val="Document Map"/>
    <w:basedOn w:val="Normalny"/>
    <w:link w:val="MapadokumentuZnak"/>
    <w:semiHidden/>
    <w:rsid w:val="006E457A"/>
    <w:pPr>
      <w:widowControl/>
      <w:shd w:val="clear" w:color="auto" w:fill="000080"/>
      <w:autoSpaceDE/>
      <w:autoSpaceDN/>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6E457A"/>
    <w:rPr>
      <w:rFonts w:ascii="Tahoma" w:eastAsia="Times New Roman" w:hAnsi="Tahoma" w:cs="Tahoma"/>
      <w:sz w:val="20"/>
      <w:szCs w:val="20"/>
      <w:shd w:val="clear" w:color="auto" w:fill="00008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89865">
      <w:bodyDiv w:val="1"/>
      <w:marLeft w:val="0"/>
      <w:marRight w:val="0"/>
      <w:marTop w:val="0"/>
      <w:marBottom w:val="0"/>
      <w:divBdr>
        <w:top w:val="none" w:sz="0" w:space="0" w:color="auto"/>
        <w:left w:val="none" w:sz="0" w:space="0" w:color="auto"/>
        <w:bottom w:val="none" w:sz="0" w:space="0" w:color="auto"/>
        <w:right w:val="none" w:sz="0" w:space="0" w:color="auto"/>
      </w:divBdr>
    </w:div>
    <w:div w:id="666641347">
      <w:bodyDiv w:val="1"/>
      <w:marLeft w:val="0"/>
      <w:marRight w:val="0"/>
      <w:marTop w:val="0"/>
      <w:marBottom w:val="0"/>
      <w:divBdr>
        <w:top w:val="none" w:sz="0" w:space="0" w:color="auto"/>
        <w:left w:val="none" w:sz="0" w:space="0" w:color="auto"/>
        <w:bottom w:val="none" w:sz="0" w:space="0" w:color="auto"/>
        <w:right w:val="none" w:sz="0" w:space="0" w:color="auto"/>
      </w:divBdr>
    </w:div>
    <w:div w:id="726954955">
      <w:bodyDiv w:val="1"/>
      <w:marLeft w:val="0"/>
      <w:marRight w:val="0"/>
      <w:marTop w:val="0"/>
      <w:marBottom w:val="0"/>
      <w:divBdr>
        <w:top w:val="none" w:sz="0" w:space="0" w:color="auto"/>
        <w:left w:val="none" w:sz="0" w:space="0" w:color="auto"/>
        <w:bottom w:val="none" w:sz="0" w:space="0" w:color="auto"/>
        <w:right w:val="none" w:sz="0" w:space="0" w:color="auto"/>
      </w:divBdr>
    </w:div>
    <w:div w:id="915280419">
      <w:bodyDiv w:val="1"/>
      <w:marLeft w:val="0"/>
      <w:marRight w:val="0"/>
      <w:marTop w:val="0"/>
      <w:marBottom w:val="0"/>
      <w:divBdr>
        <w:top w:val="none" w:sz="0" w:space="0" w:color="auto"/>
        <w:left w:val="none" w:sz="0" w:space="0" w:color="auto"/>
        <w:bottom w:val="none" w:sz="0" w:space="0" w:color="auto"/>
        <w:right w:val="none" w:sz="0" w:space="0" w:color="auto"/>
      </w:divBdr>
    </w:div>
    <w:div w:id="1428160679">
      <w:bodyDiv w:val="1"/>
      <w:marLeft w:val="0"/>
      <w:marRight w:val="0"/>
      <w:marTop w:val="0"/>
      <w:marBottom w:val="0"/>
      <w:divBdr>
        <w:top w:val="none" w:sz="0" w:space="0" w:color="auto"/>
        <w:left w:val="none" w:sz="0" w:space="0" w:color="auto"/>
        <w:bottom w:val="none" w:sz="0" w:space="0" w:color="auto"/>
        <w:right w:val="none" w:sz="0" w:space="0" w:color="auto"/>
      </w:divBdr>
    </w:div>
    <w:div w:id="1782651787">
      <w:bodyDiv w:val="1"/>
      <w:marLeft w:val="0"/>
      <w:marRight w:val="0"/>
      <w:marTop w:val="0"/>
      <w:marBottom w:val="0"/>
      <w:divBdr>
        <w:top w:val="none" w:sz="0" w:space="0" w:color="auto"/>
        <w:left w:val="none" w:sz="0" w:space="0" w:color="auto"/>
        <w:bottom w:val="none" w:sz="0" w:space="0" w:color="auto"/>
        <w:right w:val="none" w:sz="0" w:space="0" w:color="auto"/>
      </w:divBdr>
    </w:div>
    <w:div w:id="1918394060">
      <w:bodyDiv w:val="1"/>
      <w:marLeft w:val="0"/>
      <w:marRight w:val="0"/>
      <w:marTop w:val="0"/>
      <w:marBottom w:val="0"/>
      <w:divBdr>
        <w:top w:val="none" w:sz="0" w:space="0" w:color="auto"/>
        <w:left w:val="none" w:sz="0" w:space="0" w:color="auto"/>
        <w:bottom w:val="none" w:sz="0" w:space="0" w:color="auto"/>
        <w:right w:val="none" w:sz="0" w:space="0" w:color="auto"/>
      </w:divBdr>
    </w:div>
    <w:div w:id="2137797250">
      <w:bodyDiv w:val="1"/>
      <w:marLeft w:val="0"/>
      <w:marRight w:val="0"/>
      <w:marTop w:val="0"/>
      <w:marBottom w:val="0"/>
      <w:divBdr>
        <w:top w:val="none" w:sz="0" w:space="0" w:color="auto"/>
        <w:left w:val="none" w:sz="0" w:space="0" w:color="auto"/>
        <w:bottom w:val="none" w:sz="0" w:space="0" w:color="auto"/>
        <w:right w:val="none" w:sz="0" w:space="0" w:color="auto"/>
      </w:divBdr>
      <w:divsChild>
        <w:div w:id="58598486">
          <w:marLeft w:val="0"/>
          <w:marRight w:val="0"/>
          <w:marTop w:val="0"/>
          <w:marBottom w:val="0"/>
          <w:divBdr>
            <w:top w:val="none" w:sz="0" w:space="0" w:color="auto"/>
            <w:left w:val="none" w:sz="0" w:space="0" w:color="auto"/>
            <w:bottom w:val="none" w:sz="0" w:space="0" w:color="auto"/>
            <w:right w:val="none" w:sz="0" w:space="0" w:color="auto"/>
          </w:divBdr>
          <w:divsChild>
            <w:div w:id="1403873326">
              <w:marLeft w:val="0"/>
              <w:marRight w:val="0"/>
              <w:marTop w:val="0"/>
              <w:marBottom w:val="0"/>
              <w:divBdr>
                <w:top w:val="none" w:sz="0" w:space="0" w:color="auto"/>
                <w:left w:val="none" w:sz="0" w:space="0" w:color="auto"/>
                <w:bottom w:val="none" w:sz="0" w:space="0" w:color="auto"/>
                <w:right w:val="none" w:sz="0" w:space="0" w:color="auto"/>
              </w:divBdr>
            </w:div>
            <w:div w:id="15347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6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mruge2dm" TargetMode="External"/><Relationship Id="rId13" Type="http://schemas.openxmlformats.org/officeDocument/2006/relationships/hyperlink" Target="https://stat.gov.pl/obszary-tematyczne/rynek-pracy/pracujacy-bezrobotni-bierni-zawodowo-wg-bael/aktywnosc-ekonomiczna-ludnosci-polski-3-kwartal-2025-r-,4,60.html" TargetMode="External"/><Relationship Id="rId18" Type="http://schemas.openxmlformats.org/officeDocument/2006/relationships/hyperlink" Target="https://www.funduszeeuropejskie.gov.pl/strony/o-funduszach/fundusze-europejskie-bez-barier/dostepnosc/ustawa/koordynatorzy/podmiot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dg.gov.pl/statistics_glob/8-5-2/" TargetMode="External"/><Relationship Id="rId17" Type="http://schemas.openxmlformats.org/officeDocument/2006/relationships/hyperlink" Target="https://www.funduszeeuropejskie.gov.pl/strony/o-funduszach/fundusze-europejskie-bez-barier/dostepnosc/ustawa/certyfikacja-dostepnosci/informacja-o-podmiotach-ktorym-wydano-certyfikat-dostepnosci/" TargetMode="External"/><Relationship Id="rId2" Type="http://schemas.openxmlformats.org/officeDocument/2006/relationships/numbering" Target="numbering.xml"/><Relationship Id="rId16" Type="http://schemas.openxmlformats.org/officeDocument/2006/relationships/hyperlink" Target="https://www.funduszeeuropejskie.gov.pl/strony/o-funduszach/fundusze-europejskie-bez-barier/dostepnosc/ustawa/certyfikacja-dostepnosci/informacja-o-podmiotach-ktorym-wydano-certyfikat-dostepnosci/" TargetMode="External"/><Relationship Id="rId20" Type="http://schemas.openxmlformats.org/officeDocument/2006/relationships/hyperlink" Target="mailto:certyfikacja.nabor@mfip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fundusze-europejskie-bez-barier/dostepnosc/program/"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fundusze-europejskie-bez-barier/dostepnosc/ustawa/certyfikacja-dostepnosci/wykaz-podmiotow/" TargetMode="External"/><Relationship Id="rId23" Type="http://schemas.openxmlformats.org/officeDocument/2006/relationships/theme" Target="theme/theme1.xml"/><Relationship Id="rId10" Type="http://schemas.openxmlformats.org/officeDocument/2006/relationships/hyperlink" Target="mailto:dominika.wierzbowska@mfipr.gov.pl" TargetMode="External"/><Relationship Id="rId19" Type="http://schemas.openxmlformats.org/officeDocument/2006/relationships/hyperlink" Target="https://www.funduszeeuropejskie.gov.pl/strony/o-funduszach/fundusze-europejskie-bez-barier/dostepnosc/program/nabory-konkursy-i-zamowienia/nabory/aktualne-nabory-i-konkursy/" TargetMode="External"/><Relationship Id="rId4" Type="http://schemas.openxmlformats.org/officeDocument/2006/relationships/settings" Target="settings.xml"/><Relationship Id="rId9" Type="http://schemas.openxmlformats.org/officeDocument/2006/relationships/hyperlink" Target="mailto:magdalena.olszewska@mfipr.gov.pl" TargetMode="External"/><Relationship Id="rId14" Type="http://schemas.openxmlformats.org/officeDocument/2006/relationships/hyperlink" Target="https://niepelnosprawni.gov.pl/baza-wiedzy/niepelnosprawnosc-w-liczbach/rynek-pracy/2155-2/"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stat.gov.pl/obszary-tematyczne/rynek-pracy/pracujacy-bezrobotni-bierni-zawodowo-wg-bael/informacja-glownego-urzedu-statystycznego-na-temat-zmian-wprowadzanych-od-2021-r-w-bael,3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8661B-3E43-452A-BEBA-2594E74C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52</Pages>
  <Words>23468</Words>
  <Characters>140811</Characters>
  <Application>Microsoft Office Word</Application>
  <DocSecurity>0</DocSecurity>
  <Lines>1173</Lines>
  <Paragraphs>327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Pawelska Bożena</dc:creator>
  <cp:lastModifiedBy>Wierzbowska Dominika</cp:lastModifiedBy>
  <cp:revision>21</cp:revision>
  <cp:lastPrinted>2025-07-24T09:32:00Z</cp:lastPrinted>
  <dcterms:created xsi:type="dcterms:W3CDTF">2026-05-27T11:59:00Z</dcterms:created>
  <dcterms:modified xsi:type="dcterms:W3CDTF">2026-06-05T08:05:00Z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Office Word</vt:lpwstr>
  </property>
  <property fmtid="{D5CDD505-2E9C-101B-9397-08002B2CF9AE}" pid="4" name="LastSaved">
    <vt:filetime>2025-01-22T00:00:00Z</vt:filetime>
  </property>
  <property fmtid="{D5CDD505-2E9C-101B-9397-08002B2CF9AE}" pid="5" name="Producer">
    <vt:lpwstr>Aspose.Words for .NET 16.1.0.0</vt:lpwstr>
  </property>
</Properties>
</file>