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2C5B" w14:textId="28029D3D" w:rsidR="00184F6D" w:rsidRDefault="00184F6D" w:rsidP="007670A8">
      <w:pPr>
        <w:spacing w:before="0" w:after="0" w:line="276" w:lineRule="auto"/>
      </w:pPr>
      <w:r>
        <w:rPr>
          <w:noProof/>
          <w:lang w:eastAsia="pl-PL"/>
        </w:rPr>
        <w:drawing>
          <wp:inline distT="0" distB="0" distL="0" distR="0" wp14:anchorId="075701FC" wp14:editId="662434BF">
            <wp:extent cx="5755005" cy="792480"/>
            <wp:effectExtent l="0" t="0" r="0" b="7620"/>
            <wp:doc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244D6" w14:textId="246F159E" w:rsidR="007670A8" w:rsidRDefault="007670A8" w:rsidP="00184F6D">
      <w:pPr>
        <w:spacing w:before="240" w:after="0" w:line="276" w:lineRule="auto"/>
      </w:pPr>
      <w:r>
        <w:t xml:space="preserve">Projekt współfinansowany ze środków Unii Europejskiej </w:t>
      </w:r>
      <w:r>
        <w:br/>
        <w:t>w ramach Programu Fundusze Europejskie dla Rozwoju Społecznego 2021-2027</w:t>
      </w:r>
    </w:p>
    <w:p w14:paraId="7E4803C5" w14:textId="31B56823" w:rsidR="009B5582" w:rsidRPr="007670A8" w:rsidRDefault="009B5582" w:rsidP="009B5582">
      <w:pPr>
        <w:spacing w:before="120" w:after="120"/>
        <w:rPr>
          <w:b/>
          <w:bCs/>
        </w:rPr>
      </w:pPr>
      <w:r w:rsidRPr="007670A8">
        <w:rPr>
          <w:b/>
          <w:bCs/>
        </w:rPr>
        <w:t xml:space="preserve">Załącznik nr </w:t>
      </w:r>
      <w:r w:rsidR="005977E3">
        <w:rPr>
          <w:b/>
          <w:bCs/>
        </w:rPr>
        <w:t>4</w:t>
      </w:r>
      <w:r>
        <w:rPr>
          <w:b/>
          <w:bCs/>
        </w:rPr>
        <w:t xml:space="preserve"> </w:t>
      </w:r>
      <w:r w:rsidRPr="009B5582">
        <w:rPr>
          <w:b/>
          <w:bCs/>
        </w:rPr>
        <w:t xml:space="preserve">do zapytania ofertowego nr </w:t>
      </w:r>
      <w:r w:rsidR="00F7233F">
        <w:rPr>
          <w:b/>
          <w:bCs/>
        </w:rPr>
        <w:t>3</w:t>
      </w:r>
      <w:r w:rsidRPr="009B5582">
        <w:rPr>
          <w:b/>
          <w:bCs/>
        </w:rPr>
        <w:t>/2025/FERS/3.1/UG/FIRR</w:t>
      </w:r>
    </w:p>
    <w:p w14:paraId="2BC5A310" w14:textId="3AD3AC0E" w:rsidR="009B5582" w:rsidRPr="004B56B8" w:rsidRDefault="002B05E6" w:rsidP="004B56B8">
      <w:pPr>
        <w:pStyle w:val="Nagwek1"/>
      </w:pPr>
      <w:r w:rsidRPr="004B56B8">
        <w:t>KRYTERIA OCENY</w:t>
      </w:r>
    </w:p>
    <w:p w14:paraId="4C668F60" w14:textId="0D1C1695" w:rsidR="002B05E6" w:rsidRPr="002B05E6" w:rsidRDefault="002B05E6" w:rsidP="002B05E6">
      <w:pPr>
        <w:spacing w:before="240" w:after="0" w:line="360" w:lineRule="auto"/>
        <w:rPr>
          <w:bCs/>
        </w:rPr>
      </w:pPr>
      <w:r w:rsidRPr="002B05E6">
        <w:rPr>
          <w:bCs/>
        </w:rPr>
        <w:t>Ocenie podlegają wyłącznie oferty zgodne z treścią i przedmiotem zamówienia, zawierające</w:t>
      </w:r>
      <w:r w:rsidR="00A60317">
        <w:rPr>
          <w:bCs/>
        </w:rPr>
        <w:t> </w:t>
      </w:r>
      <w:r w:rsidRPr="002B05E6">
        <w:rPr>
          <w:bCs/>
        </w:rPr>
        <w:t xml:space="preserve">wszystkie wymagane </w:t>
      </w:r>
      <w:r>
        <w:rPr>
          <w:bCs/>
        </w:rPr>
        <w:t>z</w:t>
      </w:r>
      <w:r w:rsidRPr="002B05E6">
        <w:rPr>
          <w:bCs/>
        </w:rPr>
        <w:t xml:space="preserve">apytaniem </w:t>
      </w:r>
      <w:r>
        <w:rPr>
          <w:bCs/>
        </w:rPr>
        <w:t>o</w:t>
      </w:r>
      <w:r w:rsidRPr="002B05E6">
        <w:rPr>
          <w:bCs/>
        </w:rPr>
        <w:t>fertowym dokumenty oraz spełniające warunki w nim określone. Przy wyborze najkorzystniejszej oferty Zamawiający będzie kierował się następującymi kryteriami:</w:t>
      </w:r>
    </w:p>
    <w:p w14:paraId="15972514" w14:textId="351A94C3" w:rsidR="002B05E6" w:rsidRDefault="002B05E6" w:rsidP="002B05E6">
      <w:pPr>
        <w:numPr>
          <w:ilvl w:val="0"/>
          <w:numId w:val="32"/>
        </w:numPr>
        <w:spacing w:before="240" w:after="0" w:line="360" w:lineRule="auto"/>
        <w:rPr>
          <w:b/>
          <w:bCs/>
        </w:rPr>
      </w:pPr>
      <w:r w:rsidRPr="002B05E6">
        <w:rPr>
          <w:b/>
          <w:bCs/>
        </w:rPr>
        <w:t>Cena brutto usługi – 90 pkt (waga)</w:t>
      </w:r>
    </w:p>
    <w:p w14:paraId="001B0B02" w14:textId="77777777" w:rsidR="002B05E6" w:rsidRDefault="002B05E6" w:rsidP="002B05E6">
      <w:pPr>
        <w:numPr>
          <w:ilvl w:val="0"/>
          <w:numId w:val="32"/>
        </w:numPr>
        <w:spacing w:before="240" w:after="240" w:line="360" w:lineRule="auto"/>
        <w:ind w:left="714" w:hanging="357"/>
        <w:rPr>
          <w:b/>
          <w:bCs/>
        </w:rPr>
      </w:pPr>
      <w:r w:rsidRPr="002B05E6">
        <w:rPr>
          <w:b/>
          <w:bCs/>
        </w:rPr>
        <w:t>Aspekty społeczne – 10 pkt (waga) – kryterium premiujące</w:t>
      </w:r>
    </w:p>
    <w:p w14:paraId="34D7C30B" w14:textId="27B7A31E" w:rsidR="002B05E6" w:rsidRPr="00FF5C2D" w:rsidRDefault="002B05E6" w:rsidP="00CF103C">
      <w:pPr>
        <w:pStyle w:val="Nagwek2"/>
      </w:pPr>
      <w:r w:rsidRPr="00FF5C2D">
        <w:t>Sposób przyznawania punktacji za spełnienie kryterium: Cena brutto usługi</w:t>
      </w:r>
    </w:p>
    <w:p w14:paraId="54625D6E" w14:textId="77777777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Ck = (Cmin/C) x 90</w:t>
      </w:r>
    </w:p>
    <w:p w14:paraId="5CA71608" w14:textId="77777777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Ck – punktacja badanej oferty w kryterium „Cena brutto usługi”</w:t>
      </w:r>
    </w:p>
    <w:p w14:paraId="11051F47" w14:textId="77777777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Cmin – najniższa cena szacowana spośród ważnych ofert</w:t>
      </w:r>
    </w:p>
    <w:p w14:paraId="0C8DAFA0" w14:textId="12AD69A6" w:rsidR="002B05E6" w:rsidRDefault="002B05E6" w:rsidP="002B05E6">
      <w:pPr>
        <w:tabs>
          <w:tab w:val="left" w:leader="underscore" w:pos="1843"/>
        </w:tabs>
        <w:spacing w:before="0" w:after="240" w:line="360" w:lineRule="auto"/>
      </w:pPr>
      <w:r>
        <w:t xml:space="preserve">C – cena szacowana badanej oferty </w:t>
      </w:r>
    </w:p>
    <w:p w14:paraId="2E14CC2C" w14:textId="28EF84D1" w:rsidR="00CF103C" w:rsidRDefault="002B05E6" w:rsidP="00CF103C">
      <w:pPr>
        <w:tabs>
          <w:tab w:val="left" w:leader="underscore" w:pos="1843"/>
        </w:tabs>
        <w:spacing w:before="0" w:after="0" w:line="360" w:lineRule="auto"/>
      </w:pPr>
      <w:r>
        <w:t>Jeżeli zaoferowana cena lub koszt wydają się rażąco niskie w stosunku do</w:t>
      </w:r>
      <w:r w:rsidR="00A60317">
        <w:t xml:space="preserve"> </w:t>
      </w:r>
      <w:r>
        <w:t>przedmiotu zamówienia, tj. różnią się o więcej niż 30% od średniej arytmetycznej</w:t>
      </w:r>
      <w:r w:rsidR="00A60317">
        <w:t xml:space="preserve"> </w:t>
      </w:r>
      <w:r>
        <w:t>cen wszystkich ważnych ofert niepodlegających odrzuceniu, lub budzą</w:t>
      </w:r>
      <w:r w:rsidR="00A60317">
        <w:t xml:space="preserve"> </w:t>
      </w:r>
      <w:r>
        <w:t>wątpliwości zamawiającego co do możliwości wykonania przedmiotu zamówienia</w:t>
      </w:r>
      <w:r w:rsidR="00A60317">
        <w:t xml:space="preserve"> </w:t>
      </w:r>
      <w:r>
        <w:t>zgodnie z wymaganiami określonymi w zapytaniu ofertowym lub wynikającymi z odrębnych przepisów, zamawiający żąda od wykonawcy złożenia w wyznaczonym terminie wyjaśnień, w tym złożenia dowodów w zakresie wyliczenia</w:t>
      </w:r>
      <w:r w:rsidR="00A60317">
        <w:t xml:space="preserve"> </w:t>
      </w:r>
      <w:r>
        <w:t>ceny lub kosztu. Zamawiający ocenia te wyjaśnienia w konsultacji z Wykonawcą i może odrzucić tę ofertę wyłącznie w przypadku, gdy złożone wyjaśnienia wraz z dowodami nie</w:t>
      </w:r>
      <w:r w:rsidR="00A60317">
        <w:t> </w:t>
      </w:r>
      <w:r>
        <w:t>uzasadniają podanej ceny lub kosztu w tej ofercie.</w:t>
      </w:r>
      <w:r w:rsidR="00CF103C">
        <w:br w:type="page"/>
      </w:r>
    </w:p>
    <w:p w14:paraId="1039CF1F" w14:textId="67E4CBB2" w:rsidR="00FF5C2D" w:rsidRPr="00FF5C2D" w:rsidRDefault="002B05E6" w:rsidP="00335FBA">
      <w:pPr>
        <w:pStyle w:val="Nagwek2"/>
      </w:pPr>
      <w:r w:rsidRPr="00CA2A42">
        <w:lastRenderedPageBreak/>
        <w:t>Sposób przyznawania punktacji za spełnienie kryterium</w:t>
      </w:r>
      <w:r w:rsidR="00F5482C">
        <w:t xml:space="preserve"> premiującego</w:t>
      </w:r>
      <w:r w:rsidRPr="00CA2A42">
        <w:t>:</w:t>
      </w:r>
      <w:r w:rsidR="00335FBA">
        <w:t xml:space="preserve"> </w:t>
      </w:r>
      <w:r w:rsidRPr="00FF5C2D">
        <w:t xml:space="preserve">Aspekty społeczne </w:t>
      </w:r>
    </w:p>
    <w:p w14:paraId="72C680E3" w14:textId="2FDDC661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(wymagania, o których mowa w art. 96 ust. 2 pkt 2 ustawy z dnia 11 września 2019 r. Prawo</w:t>
      </w:r>
      <w:r w:rsidR="008D3DF9">
        <w:t> </w:t>
      </w:r>
      <w:r>
        <w:t>zamówień publicznych</w:t>
      </w:r>
      <w:r w:rsidR="00397EB4" w:rsidRPr="00397EB4">
        <w:t xml:space="preserve"> Dz. U. z 2024 r. poz. 1320</w:t>
      </w:r>
      <w:r w:rsidR="00397EB4">
        <w:t xml:space="preserve"> ze zmian.</w:t>
      </w:r>
      <w:r>
        <w:t>)</w:t>
      </w:r>
    </w:p>
    <w:p w14:paraId="74EB3020" w14:textId="77777777" w:rsidR="00F5482C" w:rsidRDefault="00F5482C" w:rsidP="00F5482C">
      <w:pPr>
        <w:tabs>
          <w:tab w:val="left" w:leader="underscore" w:pos="1843"/>
        </w:tabs>
        <w:spacing w:before="0" w:after="0" w:line="360" w:lineRule="auto"/>
      </w:pPr>
      <w:r>
        <w:t>Dk – punktacja badanej oferty w kryterium „Aspekty społeczne”:</w:t>
      </w:r>
    </w:p>
    <w:p w14:paraId="7DA23F45" w14:textId="060B63F2" w:rsidR="00F5482C" w:rsidRDefault="00F5482C" w:rsidP="00F5482C">
      <w:pPr>
        <w:tabs>
          <w:tab w:val="left" w:leader="underscore" w:pos="1843"/>
        </w:tabs>
        <w:spacing w:before="0" w:after="0" w:line="360" w:lineRule="auto"/>
      </w:pPr>
      <w:r>
        <w:t>10 – w przypadku zatrudnienia osoby z niepełnosprawnością na umowę o pracę na</w:t>
      </w:r>
      <w:r w:rsidR="008D3DF9">
        <w:t> </w:t>
      </w:r>
      <w:r>
        <w:t>co</w:t>
      </w:r>
      <w:r w:rsidR="008D3DF9">
        <w:t> </w:t>
      </w:r>
      <w:r>
        <w:t>najmniej pół etatu,</w:t>
      </w:r>
    </w:p>
    <w:p w14:paraId="1B19023C" w14:textId="54623FD0" w:rsidR="00F5482C" w:rsidRDefault="00F5482C" w:rsidP="00F5482C">
      <w:pPr>
        <w:tabs>
          <w:tab w:val="left" w:leader="underscore" w:pos="1843"/>
        </w:tabs>
        <w:spacing w:before="0" w:after="0" w:line="360" w:lineRule="auto"/>
      </w:pPr>
      <w:r>
        <w:t xml:space="preserve"> 0 – w pozostałych przypadkach.</w:t>
      </w:r>
    </w:p>
    <w:p w14:paraId="12789D4C" w14:textId="7BB15EED" w:rsidR="00F5482C" w:rsidRDefault="002B05E6" w:rsidP="00F5482C">
      <w:pPr>
        <w:tabs>
          <w:tab w:val="left" w:leader="underscore" w:pos="1843"/>
        </w:tabs>
        <w:spacing w:before="240" w:after="0" w:line="360" w:lineRule="auto"/>
      </w:pPr>
      <w:r>
        <w:t>Wykonawca zobowiązuje się do zastosowania aspektów społecznych przy realizacji zamówienia</w:t>
      </w:r>
      <w:r w:rsidR="002C436A">
        <w:t>, tj.</w:t>
      </w:r>
      <w:r>
        <w:t xml:space="preserve"> zobowiązuje się, że przez cały okres realizacji </w:t>
      </w:r>
      <w:r w:rsidR="00F5482C">
        <w:t>zamówienia</w:t>
      </w:r>
      <w:r>
        <w:t xml:space="preserve"> </w:t>
      </w:r>
      <w:r w:rsidR="00F5482C">
        <w:t>co najmniej jedna osoba należąca do kategorii osób z niepełnosprawnością w rozumieniu przepisów ustawy z</w:t>
      </w:r>
      <w:r w:rsidR="000C3551">
        <w:t> </w:t>
      </w:r>
      <w:r w:rsidR="00F5482C">
        <w:t xml:space="preserve">dnia 27 sierpnia 1997 r. o rehabilitacji zawodowej i społecznej oraz zatrudnianiu osób niepełnosprawnych (Dz. U. z 2024 r. poz. 44, 858, 1089, 1165, 1494, 1961 ze zmian.) będzie zatrudniona na umowę o pracę na co najmniej pół etatu. </w:t>
      </w:r>
      <w:r w:rsidR="00F5482C" w:rsidRPr="00F5482C">
        <w:t xml:space="preserve">Wykonawca </w:t>
      </w:r>
      <w:r w:rsidR="00F5482C">
        <w:t>wraz ze złożeniem oferty przedkłada Zamawiającemu</w:t>
      </w:r>
      <w:r w:rsidR="00F5482C" w:rsidRPr="00F5482C">
        <w:t xml:space="preserve"> oświadczenie w zakresie realizacji aspektów społecznych</w:t>
      </w:r>
      <w:r w:rsidR="00F5482C">
        <w:t>, którego wzór stanowi załącznik nr 6 do zapytania ofertowego</w:t>
      </w:r>
      <w:r w:rsidR="00F5482C" w:rsidRPr="00F5482C">
        <w:t xml:space="preserve">. </w:t>
      </w:r>
      <w:r w:rsidR="00F5482C">
        <w:t xml:space="preserve">Po zrealizowaniu zamówienia Wykonawca zobowiązuje się udokumentować zrealizowanie aspektów społecznych przedłożeniem Zamawiającemu wraz z </w:t>
      </w:r>
      <w:r w:rsidR="008A050B">
        <w:t xml:space="preserve">ostatnią </w:t>
      </w:r>
      <w:r w:rsidR="00F5482C">
        <w:t>fakturą za wykonaną usługę, zanonimizowanych kopii: umowy o pracę oraz orzeczenia o niepełnosprawności.</w:t>
      </w:r>
    </w:p>
    <w:p w14:paraId="704F8D70" w14:textId="74483DD2" w:rsidR="002B05E6" w:rsidRPr="00F5482C" w:rsidRDefault="002B05E6" w:rsidP="00FF5C2D">
      <w:pPr>
        <w:pStyle w:val="Nagwek2"/>
      </w:pPr>
      <w:r w:rsidRPr="00F5482C">
        <w:t>Punktacja końcowa</w:t>
      </w:r>
    </w:p>
    <w:p w14:paraId="36F1F0A8" w14:textId="77777777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Pk = Ck+Dk</w:t>
      </w:r>
    </w:p>
    <w:p w14:paraId="7AAA3751" w14:textId="77777777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Pk – punktacja końcowa</w:t>
      </w:r>
    </w:p>
    <w:p w14:paraId="6F1919E8" w14:textId="77777777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Ck – punktacja w kryterium Cena brutto usługi</w:t>
      </w:r>
    </w:p>
    <w:p w14:paraId="3103C04F" w14:textId="77777777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Dk – punktacja w kryterium Aspekty społeczne</w:t>
      </w:r>
    </w:p>
    <w:p w14:paraId="5219D41C" w14:textId="77777777" w:rsidR="00405382" w:rsidRDefault="002B05E6" w:rsidP="00405382">
      <w:pPr>
        <w:tabs>
          <w:tab w:val="left" w:leader="underscore" w:pos="1843"/>
        </w:tabs>
        <w:spacing w:before="240" w:after="2280" w:line="360" w:lineRule="auto"/>
      </w:pPr>
      <w:r>
        <w:t xml:space="preserve">Wszystkie obliczenia będą dokonywane z dokładnością do dwóch miejsc po przecinku. </w:t>
      </w:r>
    </w:p>
    <w:p w14:paraId="118332D9" w14:textId="10AE2C5D" w:rsidR="00405382" w:rsidRPr="00405382" w:rsidRDefault="00405382" w:rsidP="00FF5C2D">
      <w:pPr>
        <w:pStyle w:val="Nagwek2"/>
      </w:pPr>
      <w:r w:rsidRPr="00405382">
        <w:lastRenderedPageBreak/>
        <w:t>Wybór najkorzystniej oferty</w:t>
      </w:r>
    </w:p>
    <w:p w14:paraId="70E6394F" w14:textId="6739B6D1" w:rsidR="00405382" w:rsidRDefault="002B05E6" w:rsidP="00405382">
      <w:pPr>
        <w:tabs>
          <w:tab w:val="left" w:leader="underscore" w:pos="1843"/>
        </w:tabs>
        <w:spacing w:before="0" w:after="0" w:line="360" w:lineRule="auto"/>
      </w:pPr>
      <w:r>
        <w:t>Zamawiający wybierze ofertę, która uzyska najwyższą liczbę punktów stanowiącą sumę punktów uzyska</w:t>
      </w:r>
      <w:r w:rsidR="00405382">
        <w:t xml:space="preserve">nych z poszczególnych kryteriów, pod warunkiem spełnienia </w:t>
      </w:r>
      <w:r w:rsidR="008958E0">
        <w:t>przez</w:t>
      </w:r>
      <w:r w:rsidR="00BB7BD8">
        <w:t> </w:t>
      </w:r>
      <w:r w:rsidR="008958E0">
        <w:t xml:space="preserve">Wykonawcę </w:t>
      </w:r>
      <w:r w:rsidR="00405382">
        <w:t>kryteriów udziału wskazanych w zapytaniu ofertowy</w:t>
      </w:r>
      <w:r w:rsidR="00D9238F">
        <w:t>m</w:t>
      </w:r>
      <w:r w:rsidR="00405382">
        <w:t>.</w:t>
      </w:r>
    </w:p>
    <w:p w14:paraId="0089C33A" w14:textId="55053BBB" w:rsidR="00405382" w:rsidRDefault="00F5482C" w:rsidP="002B05E6">
      <w:pPr>
        <w:tabs>
          <w:tab w:val="left" w:leader="underscore" w:pos="1843"/>
        </w:tabs>
        <w:spacing w:before="0" w:after="0" w:line="360" w:lineRule="auto"/>
      </w:pPr>
      <w:r w:rsidRPr="00F5482C">
        <w:t xml:space="preserve">Informację o wyborze najkorzystniejszej oferty Zamawiający zamieści w Bazie Konkurencyjności Funduszy Europejskich znajdującej się na stronie: </w:t>
      </w:r>
      <w:hyperlink r:id="rId9" w:history="1">
        <w:r w:rsidRPr="00F5482C">
          <w:rPr>
            <w:rStyle w:val="Hipercze"/>
          </w:rPr>
          <w:t>https://bazakonkurencyjnosci.funduszeeuropejskie.gov.pl/</w:t>
        </w:r>
      </w:hyperlink>
      <w:r w:rsidRPr="00F5482C">
        <w:t xml:space="preserve"> oraz na stronie Zamawiającego.</w:t>
      </w:r>
      <w:r w:rsidR="002B05E6">
        <w:t xml:space="preserve"> </w:t>
      </w:r>
    </w:p>
    <w:p w14:paraId="767C6893" w14:textId="07E71E4B" w:rsidR="00D9238F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Jeżeli Zamawiający nie będzie mógł wybrać najkorzystniejszej oferty ze względu na to, że</w:t>
      </w:r>
      <w:r w:rsidR="00BB7BD8">
        <w:t> </w:t>
      </w:r>
      <w:r>
        <w:t>złożone oferty w wyniku oceny otrzymały tę samą liczbę punktów, Zamawiający może wezwać Wykonawców, którzy złożyli te oferty, do złożenia w terminie określonym przez</w:t>
      </w:r>
      <w:r w:rsidR="00BB7BD8">
        <w:t> </w:t>
      </w:r>
      <w:r>
        <w:t xml:space="preserve">Zamawiającego ofert dodatkowych w zakresie oferowanej ceny. </w:t>
      </w:r>
    </w:p>
    <w:p w14:paraId="711F3412" w14:textId="3B58C83D" w:rsidR="00D9238F" w:rsidRDefault="00D9238F" w:rsidP="00D9238F">
      <w:pPr>
        <w:tabs>
          <w:tab w:val="left" w:leader="underscore" w:pos="1843"/>
        </w:tabs>
        <w:spacing w:before="0" w:after="0" w:line="360" w:lineRule="auto"/>
      </w:pPr>
      <w:r>
        <w:t>W przypadku gdy wybrany Wykonawca odstąpi od zawarcia umowy w sprawie</w:t>
      </w:r>
      <w:r w:rsidR="008958E0">
        <w:t xml:space="preserve"> </w:t>
      </w:r>
      <w:r>
        <w:t xml:space="preserve">zamówienia, </w:t>
      </w:r>
      <w:r w:rsidR="008958E0">
        <w:t>Z</w:t>
      </w:r>
      <w:r>
        <w:t>amawiający może zawrzeć umowę z Wykonawcą, który uzyskał</w:t>
      </w:r>
      <w:r w:rsidR="008958E0">
        <w:t xml:space="preserve"> </w:t>
      </w:r>
      <w:r>
        <w:t xml:space="preserve">kolejną najwyższą liczbę </w:t>
      </w:r>
      <w:r w:rsidR="008958E0">
        <w:t>p</w:t>
      </w:r>
      <w:r>
        <w:t>unktów.</w:t>
      </w:r>
    </w:p>
    <w:p w14:paraId="2D38827D" w14:textId="47E154FA" w:rsidR="000C426D" w:rsidRPr="000C426D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W toku badania i oceny ofert Zamawiający może żądać od Wykonawców wyjaśnień dotyczących treści złożonych ofert.</w:t>
      </w:r>
    </w:p>
    <w:sectPr w:rsidR="000C426D" w:rsidRPr="000C426D" w:rsidSect="007670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" w:right="1417" w:bottom="1417" w:left="1417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C11B0" w14:textId="77777777" w:rsidR="00EE01EB" w:rsidRDefault="00EE01EB" w:rsidP="00EF2736">
      <w:pPr>
        <w:spacing w:before="0" w:after="0" w:line="240" w:lineRule="auto"/>
      </w:pPr>
      <w:r>
        <w:separator/>
      </w:r>
    </w:p>
  </w:endnote>
  <w:endnote w:type="continuationSeparator" w:id="0">
    <w:p w14:paraId="78FDD649" w14:textId="77777777" w:rsidR="00EE01EB" w:rsidRDefault="00EE01EB" w:rsidP="00EF27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347" w14:textId="77777777" w:rsidR="00187C97" w:rsidRDefault="00187C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163274617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BD91E2" w14:textId="3C9477D8" w:rsidR="00EF2736" w:rsidRPr="00927ECC" w:rsidRDefault="00EF2736" w:rsidP="00AE6953">
            <w:pPr>
              <w:pStyle w:val="Stopka"/>
              <w:spacing w:before="100" w:after="100" w:line="276" w:lineRule="auto"/>
              <w:ind w:firstLine="709"/>
              <w:jc w:val="center"/>
              <w:rPr>
                <w:sz w:val="22"/>
              </w:rPr>
            </w:pPr>
            <w:r w:rsidRPr="00927ECC">
              <w:rPr>
                <w:sz w:val="22"/>
              </w:rPr>
              <w:t xml:space="preserve">Projekt współfinansowany ze środków Unii Europejskiej </w:t>
            </w:r>
            <w:r w:rsidRPr="00927ECC">
              <w:rPr>
                <w:sz w:val="22"/>
              </w:rPr>
              <w:br/>
              <w:t>w ramach Programu Fundusze Europejskie dla Rozwoju Społecznego 2021-2027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310D3" w14:textId="77777777" w:rsidR="00187C97" w:rsidRDefault="00187C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E411" w14:textId="77777777" w:rsidR="00EE01EB" w:rsidRDefault="00EE01EB" w:rsidP="00EF2736">
      <w:pPr>
        <w:spacing w:before="0" w:after="0" w:line="240" w:lineRule="auto"/>
      </w:pPr>
      <w:r>
        <w:separator/>
      </w:r>
    </w:p>
  </w:footnote>
  <w:footnote w:type="continuationSeparator" w:id="0">
    <w:p w14:paraId="776EEF57" w14:textId="77777777" w:rsidR="00EE01EB" w:rsidRDefault="00EE01EB" w:rsidP="00EF27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1016" w14:textId="77777777" w:rsidR="00187C97" w:rsidRDefault="00187C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2167" w14:textId="70CD3E35" w:rsidR="00EF2736" w:rsidRDefault="00EF2736" w:rsidP="001B296D">
    <w:pPr>
      <w:pStyle w:val="Nagwek"/>
      <w:spacing w:before="0" w:after="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CB52F5" wp14:editId="43482316">
          <wp:simplePos x="0" y="0"/>
          <wp:positionH relativeFrom="column">
            <wp:posOffset>-635</wp:posOffset>
          </wp:positionH>
          <wp:positionV relativeFrom="paragraph">
            <wp:posOffset>-282575</wp:posOffset>
          </wp:positionV>
          <wp:extent cx="5753100" cy="790575"/>
          <wp:effectExtent l="0" t="0" r="0" b="9525"/>
          <wp:wrapSquare wrapText="bothSides"/>
          <wp:docPr id="773243638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4670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4ABC" w14:textId="77777777" w:rsidR="00187C97" w:rsidRPr="00FC36D1" w:rsidRDefault="00187C97" w:rsidP="00FC36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EA0"/>
    <w:multiLevelType w:val="hybridMultilevel"/>
    <w:tmpl w:val="55E6C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FD2"/>
    <w:multiLevelType w:val="hybridMultilevel"/>
    <w:tmpl w:val="67824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3C5715"/>
    <w:multiLevelType w:val="hybridMultilevel"/>
    <w:tmpl w:val="1B8A0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68E5"/>
    <w:multiLevelType w:val="hybridMultilevel"/>
    <w:tmpl w:val="BFAC9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269E5"/>
    <w:multiLevelType w:val="hybridMultilevel"/>
    <w:tmpl w:val="D6948956"/>
    <w:lvl w:ilvl="0" w:tplc="6EE4B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43362"/>
    <w:multiLevelType w:val="hybridMultilevel"/>
    <w:tmpl w:val="4FBEA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F221075"/>
    <w:multiLevelType w:val="hybridMultilevel"/>
    <w:tmpl w:val="3560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F5BCF"/>
    <w:multiLevelType w:val="hybridMultilevel"/>
    <w:tmpl w:val="D34EE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44FA2"/>
    <w:multiLevelType w:val="hybridMultilevel"/>
    <w:tmpl w:val="838C2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71449C3"/>
    <w:multiLevelType w:val="hybridMultilevel"/>
    <w:tmpl w:val="603E9A54"/>
    <w:lvl w:ilvl="0" w:tplc="4CEC4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E339D"/>
    <w:multiLevelType w:val="hybridMultilevel"/>
    <w:tmpl w:val="DBE0BC42"/>
    <w:lvl w:ilvl="0" w:tplc="6118397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  <w:szCs w:val="28"/>
      </w:rPr>
    </w:lvl>
    <w:lvl w:ilvl="1" w:tplc="A790C1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D25425"/>
    <w:multiLevelType w:val="hybridMultilevel"/>
    <w:tmpl w:val="D65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88767217">
    <w:abstractNumId w:val="2"/>
  </w:num>
  <w:num w:numId="2" w16cid:durableId="559556327">
    <w:abstractNumId w:val="2"/>
  </w:num>
  <w:num w:numId="3" w16cid:durableId="23798477">
    <w:abstractNumId w:val="6"/>
  </w:num>
  <w:num w:numId="4" w16cid:durableId="932740529">
    <w:abstractNumId w:val="16"/>
  </w:num>
  <w:num w:numId="5" w16cid:durableId="2062095965">
    <w:abstractNumId w:val="8"/>
  </w:num>
  <w:num w:numId="6" w16cid:durableId="1089737124">
    <w:abstractNumId w:val="12"/>
  </w:num>
  <w:num w:numId="7" w16cid:durableId="1998224134">
    <w:abstractNumId w:val="12"/>
  </w:num>
  <w:num w:numId="8" w16cid:durableId="19920573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64831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47185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58528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85794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8151328">
    <w:abstractNumId w:val="12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391729782">
    <w:abstractNumId w:val="12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441758835">
    <w:abstractNumId w:val="12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2004843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467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8515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5620013">
    <w:abstractNumId w:val="12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041174631">
    <w:abstractNumId w:val="11"/>
  </w:num>
  <w:num w:numId="21" w16cid:durableId="1661151635">
    <w:abstractNumId w:val="14"/>
  </w:num>
  <w:num w:numId="22" w16cid:durableId="2081977414">
    <w:abstractNumId w:val="13"/>
  </w:num>
  <w:num w:numId="23" w16cid:durableId="535700309">
    <w:abstractNumId w:val="5"/>
  </w:num>
  <w:num w:numId="24" w16cid:durableId="1186291401">
    <w:abstractNumId w:val="3"/>
  </w:num>
  <w:num w:numId="25" w16cid:durableId="799418934">
    <w:abstractNumId w:val="1"/>
  </w:num>
  <w:num w:numId="26" w16cid:durableId="773793103">
    <w:abstractNumId w:val="10"/>
  </w:num>
  <w:num w:numId="27" w16cid:durableId="684988160">
    <w:abstractNumId w:val="14"/>
    <w:lvlOverride w:ilvl="0">
      <w:lvl w:ilvl="0" w:tplc="61183972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ascii="Calibri" w:hAnsi="Calibri" w:cs="Calibri" w:hint="default"/>
          <w:b/>
          <w:sz w:val="28"/>
          <w:szCs w:val="28"/>
        </w:rPr>
      </w:lvl>
    </w:lvlOverride>
    <w:lvlOverride w:ilvl="1">
      <w:lvl w:ilvl="1" w:tplc="A790C1F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1149396923">
    <w:abstractNumId w:val="7"/>
  </w:num>
  <w:num w:numId="29" w16cid:durableId="1904833103">
    <w:abstractNumId w:val="0"/>
  </w:num>
  <w:num w:numId="30" w16cid:durableId="600336269">
    <w:abstractNumId w:val="9"/>
  </w:num>
  <w:num w:numId="31" w16cid:durableId="1613584585">
    <w:abstractNumId w:val="15"/>
  </w:num>
  <w:num w:numId="32" w16cid:durableId="222985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7C"/>
    <w:rsid w:val="000217A9"/>
    <w:rsid w:val="00030C64"/>
    <w:rsid w:val="00055483"/>
    <w:rsid w:val="00087147"/>
    <w:rsid w:val="00090683"/>
    <w:rsid w:val="000B4B10"/>
    <w:rsid w:val="000C3187"/>
    <w:rsid w:val="000C3551"/>
    <w:rsid w:val="000C426D"/>
    <w:rsid w:val="000D45BE"/>
    <w:rsid w:val="000D7E31"/>
    <w:rsid w:val="000E5713"/>
    <w:rsid w:val="000F7137"/>
    <w:rsid w:val="00102EC4"/>
    <w:rsid w:val="00107025"/>
    <w:rsid w:val="0011340E"/>
    <w:rsid w:val="0012701D"/>
    <w:rsid w:val="00143B8E"/>
    <w:rsid w:val="00145578"/>
    <w:rsid w:val="0015339A"/>
    <w:rsid w:val="00161334"/>
    <w:rsid w:val="00184F6D"/>
    <w:rsid w:val="00187C97"/>
    <w:rsid w:val="00192536"/>
    <w:rsid w:val="001A45A4"/>
    <w:rsid w:val="001B296D"/>
    <w:rsid w:val="001F6642"/>
    <w:rsid w:val="0025247D"/>
    <w:rsid w:val="0025498F"/>
    <w:rsid w:val="00265C89"/>
    <w:rsid w:val="00282104"/>
    <w:rsid w:val="00297FE0"/>
    <w:rsid w:val="002B05E6"/>
    <w:rsid w:val="002B14AF"/>
    <w:rsid w:val="002B3D42"/>
    <w:rsid w:val="002C436A"/>
    <w:rsid w:val="002C686A"/>
    <w:rsid w:val="002D2D26"/>
    <w:rsid w:val="002E6E59"/>
    <w:rsid w:val="00335FBA"/>
    <w:rsid w:val="003738C7"/>
    <w:rsid w:val="00380BDD"/>
    <w:rsid w:val="00397EB4"/>
    <w:rsid w:val="003A1C2B"/>
    <w:rsid w:val="003A30CD"/>
    <w:rsid w:val="003B182B"/>
    <w:rsid w:val="003D11C9"/>
    <w:rsid w:val="00405382"/>
    <w:rsid w:val="00411154"/>
    <w:rsid w:val="00432E2B"/>
    <w:rsid w:val="004543E2"/>
    <w:rsid w:val="00465245"/>
    <w:rsid w:val="00465C5B"/>
    <w:rsid w:val="00496536"/>
    <w:rsid w:val="004B56B8"/>
    <w:rsid w:val="004C00A8"/>
    <w:rsid w:val="004D29F9"/>
    <w:rsid w:val="004D648D"/>
    <w:rsid w:val="004E2A45"/>
    <w:rsid w:val="00520F63"/>
    <w:rsid w:val="00526B08"/>
    <w:rsid w:val="00527790"/>
    <w:rsid w:val="00527ECC"/>
    <w:rsid w:val="0053408B"/>
    <w:rsid w:val="00537AA2"/>
    <w:rsid w:val="005515C4"/>
    <w:rsid w:val="00581433"/>
    <w:rsid w:val="005977E3"/>
    <w:rsid w:val="005A7D63"/>
    <w:rsid w:val="005E62F3"/>
    <w:rsid w:val="005F64BE"/>
    <w:rsid w:val="006014FD"/>
    <w:rsid w:val="00602185"/>
    <w:rsid w:val="00676771"/>
    <w:rsid w:val="006943D9"/>
    <w:rsid w:val="006C10F9"/>
    <w:rsid w:val="006C6F08"/>
    <w:rsid w:val="006D3C25"/>
    <w:rsid w:val="006E3D54"/>
    <w:rsid w:val="00725B6B"/>
    <w:rsid w:val="007417A8"/>
    <w:rsid w:val="00744279"/>
    <w:rsid w:val="00753727"/>
    <w:rsid w:val="00764AC0"/>
    <w:rsid w:val="007670A8"/>
    <w:rsid w:val="00784CBC"/>
    <w:rsid w:val="007A1592"/>
    <w:rsid w:val="007B0D34"/>
    <w:rsid w:val="007E787A"/>
    <w:rsid w:val="007F7027"/>
    <w:rsid w:val="0080261A"/>
    <w:rsid w:val="008164A0"/>
    <w:rsid w:val="00820D9C"/>
    <w:rsid w:val="0082189F"/>
    <w:rsid w:val="00877C37"/>
    <w:rsid w:val="008958E0"/>
    <w:rsid w:val="00897D19"/>
    <w:rsid w:val="008A050B"/>
    <w:rsid w:val="008A0E6F"/>
    <w:rsid w:val="008C0081"/>
    <w:rsid w:val="008D3DF9"/>
    <w:rsid w:val="008D43CE"/>
    <w:rsid w:val="008F5F9B"/>
    <w:rsid w:val="009052EE"/>
    <w:rsid w:val="00907557"/>
    <w:rsid w:val="009143BB"/>
    <w:rsid w:val="00924205"/>
    <w:rsid w:val="00924EF0"/>
    <w:rsid w:val="00927ECC"/>
    <w:rsid w:val="00950774"/>
    <w:rsid w:val="00954753"/>
    <w:rsid w:val="00961E71"/>
    <w:rsid w:val="0096601D"/>
    <w:rsid w:val="00996516"/>
    <w:rsid w:val="009A6DBC"/>
    <w:rsid w:val="009A6FAD"/>
    <w:rsid w:val="009B0306"/>
    <w:rsid w:val="009B5582"/>
    <w:rsid w:val="009E26B4"/>
    <w:rsid w:val="009F11A9"/>
    <w:rsid w:val="009F387D"/>
    <w:rsid w:val="00A1590E"/>
    <w:rsid w:val="00A42DDB"/>
    <w:rsid w:val="00A46880"/>
    <w:rsid w:val="00A60317"/>
    <w:rsid w:val="00A85B19"/>
    <w:rsid w:val="00AA1809"/>
    <w:rsid w:val="00AB2445"/>
    <w:rsid w:val="00AB4BF3"/>
    <w:rsid w:val="00AC3EDA"/>
    <w:rsid w:val="00AD254A"/>
    <w:rsid w:val="00AE16B5"/>
    <w:rsid w:val="00AE39FC"/>
    <w:rsid w:val="00AE40E9"/>
    <w:rsid w:val="00AE68E8"/>
    <w:rsid w:val="00AE6953"/>
    <w:rsid w:val="00AE7473"/>
    <w:rsid w:val="00B05C48"/>
    <w:rsid w:val="00B141C8"/>
    <w:rsid w:val="00B1749D"/>
    <w:rsid w:val="00B23347"/>
    <w:rsid w:val="00B332E8"/>
    <w:rsid w:val="00B3593D"/>
    <w:rsid w:val="00B6461A"/>
    <w:rsid w:val="00B9115E"/>
    <w:rsid w:val="00BA267D"/>
    <w:rsid w:val="00BB2D80"/>
    <w:rsid w:val="00BB7BD8"/>
    <w:rsid w:val="00BC21D0"/>
    <w:rsid w:val="00BD2DEC"/>
    <w:rsid w:val="00C07303"/>
    <w:rsid w:val="00C12B61"/>
    <w:rsid w:val="00C46546"/>
    <w:rsid w:val="00C65934"/>
    <w:rsid w:val="00C714CD"/>
    <w:rsid w:val="00C74017"/>
    <w:rsid w:val="00C741C6"/>
    <w:rsid w:val="00C74522"/>
    <w:rsid w:val="00C91377"/>
    <w:rsid w:val="00C93B05"/>
    <w:rsid w:val="00C9755C"/>
    <w:rsid w:val="00CA2A42"/>
    <w:rsid w:val="00CA40FF"/>
    <w:rsid w:val="00CD634A"/>
    <w:rsid w:val="00CF103C"/>
    <w:rsid w:val="00CF7F25"/>
    <w:rsid w:val="00D16206"/>
    <w:rsid w:val="00D17524"/>
    <w:rsid w:val="00D2124C"/>
    <w:rsid w:val="00D24E39"/>
    <w:rsid w:val="00D6149B"/>
    <w:rsid w:val="00D9238F"/>
    <w:rsid w:val="00DA6608"/>
    <w:rsid w:val="00DC3A84"/>
    <w:rsid w:val="00DD56AA"/>
    <w:rsid w:val="00DF5E00"/>
    <w:rsid w:val="00DF614F"/>
    <w:rsid w:val="00DF7817"/>
    <w:rsid w:val="00E05363"/>
    <w:rsid w:val="00E10A9A"/>
    <w:rsid w:val="00E176C0"/>
    <w:rsid w:val="00E2500E"/>
    <w:rsid w:val="00E32BF9"/>
    <w:rsid w:val="00E569C9"/>
    <w:rsid w:val="00E67E16"/>
    <w:rsid w:val="00E72983"/>
    <w:rsid w:val="00E8558A"/>
    <w:rsid w:val="00EA4DE3"/>
    <w:rsid w:val="00EC6AFB"/>
    <w:rsid w:val="00EC7F00"/>
    <w:rsid w:val="00ED2EC3"/>
    <w:rsid w:val="00EE01EB"/>
    <w:rsid w:val="00EF2736"/>
    <w:rsid w:val="00F207FE"/>
    <w:rsid w:val="00F21A15"/>
    <w:rsid w:val="00F350DF"/>
    <w:rsid w:val="00F5482C"/>
    <w:rsid w:val="00F7233F"/>
    <w:rsid w:val="00F77367"/>
    <w:rsid w:val="00F8160A"/>
    <w:rsid w:val="00F94036"/>
    <w:rsid w:val="00FB2084"/>
    <w:rsid w:val="00FB5C50"/>
    <w:rsid w:val="00FB7DB5"/>
    <w:rsid w:val="00FC36D1"/>
    <w:rsid w:val="00FD1B7C"/>
    <w:rsid w:val="00FD21AD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DBDB"/>
  <w15:chartTrackingRefBased/>
  <w15:docId w15:val="{401A5DEE-0422-41E8-BDE1-E629627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536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56B8"/>
    <w:p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5C2D"/>
    <w:pPr>
      <w:tabs>
        <w:tab w:val="left" w:leader="underscore" w:pos="1843"/>
      </w:tabs>
      <w:spacing w:before="0" w:after="0" w:line="360" w:lineRule="auto"/>
      <w:outlineLvl w:val="1"/>
    </w:pPr>
    <w:rPr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FF5C2D"/>
    <w:rPr>
      <w:rFonts w:ascii="Calibri" w:hAnsi="Calibr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B56B8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4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5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7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F0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F0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8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A990-4505-4C59-B8B8-18B960D8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oceny</vt:lpstr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oceny</dc:title>
  <dc:subject/>
  <dc:creator>damian.maniecki@firr.org.pl</dc:creator>
  <cp:keywords/>
  <dc:description/>
  <cp:lastModifiedBy>Damian Maniecki</cp:lastModifiedBy>
  <cp:revision>8</cp:revision>
  <cp:lastPrinted>2025-01-21T13:43:00Z</cp:lastPrinted>
  <dcterms:created xsi:type="dcterms:W3CDTF">2025-01-21T13:43:00Z</dcterms:created>
  <dcterms:modified xsi:type="dcterms:W3CDTF">2025-07-22T08:48:00Z</dcterms:modified>
</cp:coreProperties>
</file>