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ed Hat Display" w:cs="Red Hat Display" w:eastAsia="Red Hat Display" w:hAnsi="Red Hat Display"/>
          <w:b w:val="1"/>
          <w:sz w:val="32"/>
          <w:szCs w:val="32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32"/>
          <w:szCs w:val="32"/>
          <w:rtl w:val="0"/>
        </w:rPr>
        <w:t xml:space="preserve">Kto potrzebuje Konwencji? </w:t>
      </w:r>
    </w:p>
    <w:p w:rsidR="00000000" w:rsidDel="00000000" w:rsidP="00000000" w:rsidRDefault="00000000" w:rsidRPr="00000000" w14:paraId="00000002">
      <w:pPr>
        <w:jc w:val="center"/>
        <w:rPr>
          <w:rFonts w:ascii="Red Hat Display" w:cs="Red Hat Display" w:eastAsia="Red Hat Display" w:hAnsi="Red Hat Display"/>
          <w:b w:val="1"/>
          <w:sz w:val="26"/>
          <w:szCs w:val="26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32"/>
          <w:szCs w:val="32"/>
          <w:rtl w:val="0"/>
        </w:rPr>
        <w:t xml:space="preserve">Bilans na 10-lecie Kongresu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ed Hat Display" w:cs="Red Hat Display" w:eastAsia="Red Hat Display" w:hAnsi="Red Hat Display"/>
          <w:b w:val="1"/>
          <w:sz w:val="26"/>
          <w:szCs w:val="26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28"/>
          <w:szCs w:val="28"/>
          <w:rtl w:val="0"/>
        </w:rPr>
        <w:t xml:space="preserve">Termin i miejsce Kongresu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Red Hat Display" w:cs="Red Hat Display" w:eastAsia="Red Hat Display" w:hAnsi="Red Hat Display"/>
          <w:sz w:val="24"/>
          <w:szCs w:val="24"/>
          <w:u w:val="none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30 października 2024 r., w godz. 10:00-16:30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Red Hat Display" w:cs="Red Hat Display" w:eastAsia="Red Hat Display" w:hAnsi="Red Hat Display"/>
          <w:sz w:val="24"/>
          <w:szCs w:val="24"/>
          <w:u w:val="none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Hotel Arche Krakowska w Warszawie (al. Krakowska 237)</w:t>
      </w:r>
    </w:p>
    <w:p w:rsidR="00000000" w:rsidDel="00000000" w:rsidP="00000000" w:rsidRDefault="00000000" w:rsidRPr="00000000" w14:paraId="00000006">
      <w:pPr>
        <w:ind w:left="0" w:firstLine="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8"/>
          <w:szCs w:val="28"/>
          <w:rtl w:val="0"/>
        </w:rPr>
        <w:t xml:space="preserve">Proponowany program Kongresu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ed Hat Display" w:cs="Red Hat Display" w:eastAsia="Red Hat Display" w:hAnsi="Red Hat Display"/>
          <w:b w:val="1"/>
          <w:sz w:val="30"/>
          <w:szCs w:val="30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Prowadzący: 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Katarzyna Heba – adwokatka, wiceprezeska Fundacja Helen Keller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Robert Jagodziński – prezes Fundacji Aktywnej Rehabilitacji  </w:t>
      </w:r>
    </w:p>
    <w:p w:rsidR="00000000" w:rsidDel="00000000" w:rsidP="00000000" w:rsidRDefault="00000000" w:rsidRPr="00000000" w14:paraId="0000000B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10.00-10.30 Otwarcie Kongresu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Powitanie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Wystąpienie Rzecznika Praw Obywatelskich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Wręczenie tytułów Ambasadora / Ambasadorki Konwencji</w:t>
      </w:r>
    </w:p>
    <w:p w:rsidR="00000000" w:rsidDel="00000000" w:rsidP="00000000" w:rsidRDefault="00000000" w:rsidRPr="00000000" w14:paraId="00000010">
      <w:pPr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10:30-11:30 Panel dyskusyjny pt. „Kto potrzebuje Konwencji? Bilans na 10-lecie Kongresu”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Moderatorka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: dr Monika Zima-Parjaszewska – prezeska Zarządu Głównego Polskiego Stowarzyszenia na rzecz Osób z Niepełnosprawnością Intelektualną (PSONI), Wiceprzewodnicząca PFON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Prelegenci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Maureen Pigot – członkini Komitetu Wykonawczego European Disability Forum, była prezeska Inclusion Europe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Katarzyna Heba – adwokatka, wiceprezeska Fundacji im. Helen Keller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44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dr Monika Wiszyńska-Rakowska – Biuro Rzecznika Praw Obywatelskich, Pełnomocniczka RPO ds. osób z niepełnosprawnościami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-606261</wp:posOffset>
            </wp:positionH>
            <wp:positionV relativeFrom="paragraph">
              <wp:posOffset>504825</wp:posOffset>
            </wp:positionV>
            <wp:extent cx="6943526" cy="1903126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80626"/>
                    <a:stretch>
                      <a:fillRect/>
                    </a:stretch>
                  </pic:blipFill>
                  <pic:spPr>
                    <a:xfrm>
                      <a:off x="0" y="0"/>
                      <a:ext cx="6943526" cy="19031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Paweł Rydelek – self-adwokat, koło PSONI w Elblągu,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Grzegorz Markowski – dziennikarz, Radio Nowy Świat, TVP Info</w:t>
      </w:r>
    </w:p>
    <w:p w:rsidR="00000000" w:rsidDel="00000000" w:rsidP="00000000" w:rsidRDefault="00000000" w:rsidRPr="00000000" w14:paraId="00000019">
      <w:pPr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11:30-12:00 Przerwa kawowa</w:t>
      </w:r>
    </w:p>
    <w:p w:rsidR="00000000" w:rsidDel="00000000" w:rsidP="00000000" w:rsidRDefault="00000000" w:rsidRPr="00000000" w14:paraId="0000001B">
      <w:pPr>
        <w:ind w:left="0" w:firstLine="72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12:00-13:30 Trzy sesje równoległe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„Nie mebluj mi życia”. Czym się różni mieszkanie od małej instytucji?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—  sala Fuksja 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„Nie rządź moim życiem”. Czym się różni ubezwłasnowolnienie od wspieranego podejmowania decyzji?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sala Stacja Krakowska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„Jesteśmy w tym razem”. Jak w Unii Europejskiej radzimy sobie z Konwencją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sale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Fuksja 5 i 6 </w:t>
      </w: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(sesja ta będzie transmitowana online) </w:t>
      </w:r>
    </w:p>
    <w:p w:rsidR="00000000" w:rsidDel="00000000" w:rsidP="00000000" w:rsidRDefault="00000000" w:rsidRPr="00000000" w14:paraId="00000020">
      <w:pPr>
        <w:ind w:firstLine="72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13:30-14:00 Przerwa kawowa</w:t>
      </w:r>
    </w:p>
    <w:p w:rsidR="00000000" w:rsidDel="00000000" w:rsidP="00000000" w:rsidRDefault="00000000" w:rsidRPr="00000000" w14:paraId="00000022">
      <w:pPr>
        <w:ind w:firstLine="72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14:00-15:15 Panel dyskusyjny podsumowujący Konwenty regionalne i sesje równoległe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Moderatorka: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dr Małgorzata Franczak – Stowarzyszenie Twoje Nowe Możliwości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Paneliści: </w:t>
      </w: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reprezentanci poszczególnych Konwentów regionalnych i sesji tematycznych </w:t>
      </w:r>
    </w:p>
    <w:p w:rsidR="00000000" w:rsidDel="00000000" w:rsidP="00000000" w:rsidRDefault="00000000" w:rsidRPr="00000000" w14:paraId="00000026">
      <w:pPr>
        <w:ind w:left="0" w:firstLine="0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15:15-15:30 Podsumowanie Kongresu i zamknięcie wydarzenia </w:t>
      </w:r>
    </w:p>
    <w:p w:rsidR="00000000" w:rsidDel="00000000" w:rsidP="00000000" w:rsidRDefault="00000000" w:rsidRPr="00000000" w14:paraId="00000028">
      <w:pPr>
        <w:ind w:firstLine="72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15:30-16:30 Obiad</w:t>
      </w:r>
    </w:p>
    <w:p w:rsidR="00000000" w:rsidDel="00000000" w:rsidP="00000000" w:rsidRDefault="00000000" w:rsidRPr="00000000" w14:paraId="0000002A">
      <w:pPr>
        <w:ind w:firstLine="720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sz w:val="24"/>
          <w:szCs w:val="24"/>
          <w:rtl w:val="0"/>
        </w:rPr>
        <w:t xml:space="preserve">W razie jakichkolwiek pytań pozostajemy do państwa dyspozycji. </w:t>
      </w:r>
    </w:p>
    <w:p w:rsidR="00000000" w:rsidDel="00000000" w:rsidP="00000000" w:rsidRDefault="00000000" w:rsidRPr="00000000" w14:paraId="0000002C">
      <w:pPr>
        <w:jc w:val="right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Kontakt: </w:t>
      </w:r>
    </w:p>
    <w:p w:rsidR="00000000" w:rsidDel="00000000" w:rsidP="00000000" w:rsidRDefault="00000000" w:rsidRPr="00000000" w14:paraId="0000002D">
      <w:pPr>
        <w:jc w:val="right"/>
        <w:rPr>
          <w:rFonts w:ascii="Red Hat Display" w:cs="Red Hat Display" w:eastAsia="Red Hat Display" w:hAnsi="Red Hat Display"/>
          <w:b w:val="1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e-mail: biuro@pfon.org</w:t>
      </w:r>
    </w:p>
    <w:p w:rsidR="00000000" w:rsidDel="00000000" w:rsidP="00000000" w:rsidRDefault="00000000" w:rsidRPr="00000000" w14:paraId="0000002E">
      <w:pPr>
        <w:jc w:val="right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sz w:val="24"/>
          <w:szCs w:val="24"/>
          <w:rtl w:val="0"/>
        </w:rPr>
        <w:t xml:space="preserve">nr tel.: (+48) 22 299 18 62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-604837</wp:posOffset>
            </wp:positionH>
            <wp:positionV relativeFrom="paragraph">
              <wp:posOffset>952500</wp:posOffset>
            </wp:positionV>
            <wp:extent cx="6943526" cy="1903126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80626"/>
                    <a:stretch>
                      <a:fillRect/>
                    </a:stretch>
                  </pic:blipFill>
                  <pic:spPr>
                    <a:xfrm>
                      <a:off x="0" y="0"/>
                      <a:ext cx="6943526" cy="19031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ed Hat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-309562</wp:posOffset>
          </wp:positionV>
          <wp:extent cx="5731200" cy="80962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5311" l="0" r="0" t="4700"/>
                  <a:stretch>
                    <a:fillRect/>
                  </a:stretch>
                </pic:blipFill>
                <pic:spPr>
                  <a:xfrm>
                    <a:off x="0" y="0"/>
                    <a:ext cx="5731200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4845375</wp:posOffset>
          </wp:positionH>
          <wp:positionV relativeFrom="paragraph">
            <wp:posOffset>-228599</wp:posOffset>
          </wp:positionV>
          <wp:extent cx="882975" cy="65709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7428" l="3763" r="3763" t="7428"/>
                  <a:stretch>
                    <a:fillRect/>
                  </a:stretch>
                </pic:blipFill>
                <pic:spPr>
                  <a:xfrm>
                    <a:off x="0" y="0"/>
                    <a:ext cx="882975" cy="6570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dHatDisplay-regular.ttf"/><Relationship Id="rId2" Type="http://schemas.openxmlformats.org/officeDocument/2006/relationships/font" Target="fonts/RedHatDisplay-bold.ttf"/><Relationship Id="rId3" Type="http://schemas.openxmlformats.org/officeDocument/2006/relationships/font" Target="fonts/RedHatDisplay-italic.ttf"/><Relationship Id="rId4" Type="http://schemas.openxmlformats.org/officeDocument/2006/relationships/font" Target="fonts/RedHat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