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16" w:rsidRPr="00482BD4" w:rsidRDefault="00766916" w:rsidP="00766916">
      <w:pPr>
        <w:spacing w:before="120"/>
        <w:jc w:val="both"/>
        <w:rPr>
          <w:rFonts w:ascii="Tahoma" w:eastAsia="+mn-ea" w:hAnsi="Tahoma" w:cs="Tahoma"/>
          <w:bCs/>
          <w:color w:val="000000"/>
          <w:kern w:val="24"/>
          <w:sz w:val="20"/>
          <w:szCs w:val="20"/>
        </w:rPr>
      </w:pPr>
      <w:r w:rsidRPr="00482BD4">
        <w:rPr>
          <w:rFonts w:ascii="Tahoma" w:eastAsia="+mn-ea" w:hAnsi="Tahoma" w:cs="Tahoma"/>
          <w:color w:val="000000"/>
          <w:kern w:val="24"/>
          <w:sz w:val="20"/>
          <w:szCs w:val="20"/>
        </w:rPr>
        <w:t>Załącznik nr 3</w:t>
      </w:r>
      <w:r w:rsidR="0021345E" w:rsidRPr="00482BD4">
        <w:rPr>
          <w:rFonts w:ascii="Tahoma" w:eastAsia="+mn-ea" w:hAnsi="Tahoma" w:cs="Tahoma"/>
          <w:color w:val="000000"/>
          <w:kern w:val="24"/>
          <w:sz w:val="20"/>
          <w:szCs w:val="20"/>
        </w:rPr>
        <w:t xml:space="preserve"> do Zapytania Ofertowego </w:t>
      </w:r>
      <w:r w:rsidR="0021345E" w:rsidRPr="00482BD4">
        <w:rPr>
          <w:rFonts w:ascii="Tahoma" w:eastAsia="+mn-ea" w:hAnsi="Tahoma" w:cs="Tahoma"/>
          <w:bCs/>
          <w:color w:val="000000"/>
          <w:kern w:val="24"/>
          <w:sz w:val="20"/>
          <w:szCs w:val="20"/>
        </w:rPr>
        <w:t>nr 1/2021/NGO/FIRR</w:t>
      </w:r>
    </w:p>
    <w:p w:rsidR="00766916" w:rsidRPr="00482BD4" w:rsidRDefault="00766916" w:rsidP="00766916">
      <w:pPr>
        <w:spacing w:before="120"/>
        <w:jc w:val="both"/>
        <w:rPr>
          <w:rFonts w:ascii="Tahoma" w:eastAsia="+mn-ea" w:hAnsi="Tahoma" w:cs="Tahoma"/>
          <w:color w:val="000000"/>
          <w:kern w:val="24"/>
          <w:sz w:val="20"/>
          <w:szCs w:val="20"/>
        </w:rPr>
      </w:pPr>
      <w:r w:rsidRPr="00482BD4">
        <w:rPr>
          <w:rFonts w:ascii="Tahoma" w:eastAsia="+mn-ea" w:hAnsi="Tahoma" w:cs="Tahoma"/>
          <w:color w:val="000000"/>
          <w:kern w:val="24"/>
          <w:sz w:val="20"/>
          <w:szCs w:val="20"/>
        </w:rPr>
        <w:t>Standard i ceny rynkowe wybranych wydatków w ramach PO WER obowiązujące dla projektu „MOCNA NGO"</w:t>
      </w:r>
    </w:p>
    <w:p w:rsidR="00766916" w:rsidRPr="007F5CDF" w:rsidRDefault="00766916" w:rsidP="00766916">
      <w:pPr>
        <w:spacing w:before="120"/>
        <w:jc w:val="both"/>
        <w:rPr>
          <w:rFonts w:ascii="Tahoma" w:eastAsia="+mn-ea" w:hAnsi="Tahoma" w:cs="Tahoma"/>
          <w:b/>
          <w:i/>
          <w:color w:val="000000"/>
          <w:kern w:val="24"/>
          <w:sz w:val="20"/>
          <w:szCs w:val="20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988"/>
        <w:gridCol w:w="5568"/>
        <w:gridCol w:w="1917"/>
        <w:gridCol w:w="3992"/>
      </w:tblGrid>
      <w:tr w:rsidR="00766916" w:rsidRPr="007F5CDF" w:rsidTr="000862CB">
        <w:trPr>
          <w:trHeight w:val="4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0862C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ynajem </w:t>
            </w:r>
            <w:proofErr w:type="spellStart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obejmuje koszt wynajmu sali wyposażonej, zgodnie z potrzebami projektu, m.in. w stoły, krzesła, rzutnik multimedialny z ekranem, komputer, tablice flipchart lub tablice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suchościeralne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>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ydatek kwalifikowalny, o ile sala oraz budynek, w którym się ona znajduje, zapewnia dostęp dla osób z niepełnosprawnością ruchową (tj. dostosowanie architektoniczne), przy czym obowiązek ten nie dotyczy udostępniania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 xml:space="preserve"> szkoleniowych jako wkład własny w projekcie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75 PLN/ za godzinę zegarową szkolenia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F5CDF">
              <w:rPr>
                <w:rFonts w:ascii="Tahoma" w:hAnsi="Tahoma" w:cs="Tahoma"/>
                <w:sz w:val="20"/>
                <w:szCs w:val="20"/>
              </w:rPr>
              <w:t>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obejmuje wynajem krótkoterminowy (w przypadku wynajmu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 xml:space="preserve"> szkoleniowych na okres dłuższy niż 80 godzin zegarowych cena pow</w:t>
            </w:r>
            <w:r>
              <w:rPr>
                <w:rFonts w:ascii="Tahoma" w:hAnsi="Tahoma" w:cs="Tahoma"/>
                <w:sz w:val="20"/>
                <w:szCs w:val="20"/>
              </w:rPr>
              <w:t>inna być niższa).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nie dotyczy wynajmu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 xml:space="preserve"> wyposażonych w </w:t>
            </w:r>
            <w:r w:rsidRPr="007F5CDF">
              <w:rPr>
                <w:rFonts w:ascii="Tahoma" w:hAnsi="Tahoma" w:cs="Tahoma"/>
                <w:color w:val="000000"/>
                <w:sz w:val="20"/>
                <w:szCs w:val="20"/>
              </w:rPr>
              <w:t>sprzęt specjalistyczny umożliwiający udział w szkoleniach osób z innymi rodzajami niepełnosprawności niż niepełnosprawność ruchowa (np. sala z pętlą indukcyjną)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dotyczy wynajmu sali do 40 osób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766916" w:rsidRPr="007F5CDF" w:rsidTr="000862CB">
        <w:trPr>
          <w:trHeight w:val="23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</w:t>
            </w:r>
            <w:proofErr w:type="gramStart"/>
            <w:r w:rsidRPr="007F5CDF">
              <w:rPr>
                <w:rFonts w:ascii="Tahoma" w:hAnsi="Tahoma" w:cs="Tahoma"/>
                <w:sz w:val="20"/>
                <w:szCs w:val="20"/>
              </w:rPr>
              <w:t>cytryna,  drobne</w:t>
            </w:r>
            <w:proofErr w:type="gramEnd"/>
            <w:r w:rsidRPr="007F5CDF">
              <w:rPr>
                <w:rFonts w:ascii="Tahoma" w:hAnsi="Tahoma" w:cs="Tahoma"/>
                <w:sz w:val="20"/>
                <w:szCs w:val="20"/>
              </w:rPr>
              <w:t xml:space="preserve">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15 PLN/osobę/dzień szkoleniowy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0862CB">
        <w:trPr>
          <w:trHeight w:val="26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44 PLN/osobę/ posiłek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0862C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lastRenderedPageBreak/>
              <w:t>hotel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lastRenderedPageBreak/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odzaju oferowanej usługi i jest niższa, jeśli finansowany jest mniejszy zakres usługi (np. nocleg w pokoju </w:t>
            </w:r>
            <w:r w:rsidRPr="007F5CDF">
              <w:rPr>
                <w:rFonts w:ascii="Tahoma" w:hAnsi="Tahoma" w:cs="Tahoma"/>
                <w:sz w:val="20"/>
                <w:szCs w:val="20"/>
              </w:rPr>
              <w:lastRenderedPageBreak/>
              <w:t>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766916" w:rsidRPr="007F5CDF" w:rsidRDefault="00766916" w:rsidP="0076691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hAnsi="Tahoma" w:cs="Tahoma"/>
          <w:i/>
          <w:sz w:val="18"/>
          <w:szCs w:val="18"/>
        </w:rPr>
        <w:t xml:space="preserve">  </w:t>
      </w: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766916" w:rsidRPr="007F5CDF" w:rsidRDefault="00766916" w:rsidP="007669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766916" w:rsidRPr="007F5CDF" w:rsidRDefault="00766916" w:rsidP="007669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766916" w:rsidRPr="007F5CDF" w:rsidRDefault="00766916" w:rsidP="007669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ED" w:rsidRDefault="00E045ED" w:rsidP="00766916">
      <w:pPr>
        <w:spacing w:after="0" w:line="240" w:lineRule="auto"/>
      </w:pPr>
      <w:r>
        <w:separator/>
      </w:r>
    </w:p>
  </w:endnote>
  <w:endnote w:type="continuationSeparator" w:id="0">
    <w:p w:rsidR="00E045ED" w:rsidRDefault="00E045ED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ED" w:rsidRDefault="00E045ED" w:rsidP="00766916">
      <w:pPr>
        <w:spacing w:after="0" w:line="240" w:lineRule="auto"/>
      </w:pPr>
      <w:r>
        <w:separator/>
      </w:r>
    </w:p>
  </w:footnote>
  <w:footnote w:type="continuationSeparator" w:id="0">
    <w:p w:rsidR="00E045ED" w:rsidRDefault="00E045ED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E4C1B"/>
    <w:rsid w:val="0021345E"/>
    <w:rsid w:val="00361D71"/>
    <w:rsid w:val="00482BD4"/>
    <w:rsid w:val="00635EBE"/>
    <w:rsid w:val="00766916"/>
    <w:rsid w:val="008C43FE"/>
    <w:rsid w:val="00B82D8B"/>
    <w:rsid w:val="00BF6B7C"/>
    <w:rsid w:val="00CE6FB3"/>
    <w:rsid w:val="00E0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2915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631B9-1B50-4924-BAFF-9C213276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Daria Jaszczak</cp:lastModifiedBy>
  <cp:revision>6</cp:revision>
  <dcterms:created xsi:type="dcterms:W3CDTF">2021-07-08T10:04:00Z</dcterms:created>
  <dcterms:modified xsi:type="dcterms:W3CDTF">2021-07-09T09:25:00Z</dcterms:modified>
</cp:coreProperties>
</file>